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49" w:name="X04e6f0e6c606c135a58eeec76c171761f0de5fa"/>
    <w:p>
      <w:pPr>
        <w:pStyle w:val="Heading1"/>
      </w:pPr>
      <w:r>
        <w:t xml:space="preserve">Security standards reference: what each one issues, and what triggers it</w:t>
      </w:r>
    </w:p>
    <w:p>
      <w:pPr>
        <w:pStyle w:val="FirstParagraph"/>
      </w:pPr>
      <w:r>
        <w:rPr>
          <w:b/>
          <w:bCs/>
        </w:rPr>
        <w:t xml:space="preserve">One row per document, and the reasoning behind the cuts they are sorted on.</w:t>
      </w:r>
      <w:r>
        <w:t xml:space="preserve"> </w:t>
      </w:r>
      <w:r>
        <w:t xml:space="preserve">Consult this while</w:t>
      </w:r>
      <w:r>
        <w:t xml:space="preserve"> </w:t>
      </w:r>
      <w:r>
        <w:t xml:space="preserve">working, already knowing what you are looking for. If instead you are trying to work out which of</w:t>
      </w:r>
      <w:r>
        <w:t xml:space="preserve"> </w:t>
      </w:r>
      <w:r>
        <w:t xml:space="preserve">these is even worth your attention, start at</w:t>
      </w:r>
      <w:r>
        <w:t xml:space="preserve"> </w:t>
      </w:r>
      <w:hyperlink r:id="rId9">
        <w:r>
          <w:rPr>
            <w:rStyle w:val="Hyperlink"/>
          </w:rPr>
          <w:t xml:space="preserve">which standards apply to you</w:t>
        </w:r>
      </w:hyperlink>
      <w:r>
        <w:t xml:space="preserve"> </w:t>
      </w:r>
      <w:r>
        <w:t xml:space="preserve">-- the same coverage organized around your</w:t>
      </w:r>
      <w:r>
        <w:t xml:space="preserve"> </w:t>
      </w:r>
      <w:r>
        <w:t xml:space="preserve">situation rather than around the documents, and carrying an interactive selector on the served site.</w:t>
      </w:r>
      <w:r>
        <w:t xml:space="preserve"> </w:t>
      </w:r>
      <w:r>
        <w:t xml:space="preserve">That page routes and holds no rows; this one holds the rows and the argument.</w:t>
      </w:r>
    </w:p>
    <w:p>
      <w:pPr>
        <w:pStyle w:val="BlockText"/>
      </w:pPr>
      <w:r>
        <w:rPr>
          <w:b/>
          <w:bCs/>
        </w:rPr>
        <w:t xml:space="preserve">Take a copy:</w:t>
      </w:r>
      <w:r>
        <w:t xml:space="preserve"> </w:t>
      </w:r>
      <w:hyperlink r:id="rId10">
        <w:r>
          <w:rPr>
            <w:rStyle w:val="Hyperlink"/>
          </w:rPr>
          <w:t xml:space="preserve">markdown</w:t>
        </w:r>
      </w:hyperlink>
      <w:r>
        <w:t xml:space="preserve"> </w:t>
      </w:r>
      <w:r>
        <w:t xml:space="preserve">or</w:t>
      </w:r>
      <w:r>
        <w:t xml:space="preserve"> </w:t>
      </w:r>
      <w:hyperlink r:id="rId11">
        <w:r>
          <w:rPr>
            <w:rStyle w:val="Hyperlink"/>
          </w:rPr>
          <w:t xml:space="preserve">Word document</w:t>
        </w:r>
      </w:hyperlink>
      <w:r>
        <w:t xml:space="preserve">.</w:t>
      </w:r>
      <w:r>
        <w:t xml:space="preserve"> </w:t>
      </w:r>
      <w:hyperlink r:id="rId12">
        <w:r>
          <w:rPr>
            <w:rStyle w:val="Hyperlink"/>
          </w:rPr>
          <w:t xml:space="preserve">Every file, both formats</w:t>
        </w:r>
      </w:hyperlink>
      <w:r>
        <w:t xml:space="preserve">.</w:t>
      </w:r>
    </w:p>
    <w:p>
      <w:r>
        <w:pict>
          <v:rect style="width:0;height:1.5pt" o:hralign="center" o:hrstd="t" o:hr="t"/>
        </w:pict>
      </w:r>
    </w:p>
    <w:bookmarkStart w:id="13" w:name="tldrbluf"/>
    <w:p>
      <w:pPr>
        <w:pStyle w:val="Heading2"/>
      </w:pPr>
      <w:r>
        <w:t xml:space="preserve">TLDR/BLUF</w:t>
      </w:r>
    </w:p>
    <w:p>
      <w:pPr>
        <w:pStyle w:val="FirstParagraph"/>
      </w:pPr>
      <w:r>
        <w:rPr>
          <w:b/>
          <w:bCs/>
        </w:rPr>
        <w:t xml:space="preserve">What this is.</w:t>
      </w:r>
      <w:r>
        <w:t xml:space="preserve"> </w:t>
      </w:r>
      <w:r>
        <w:t xml:space="preserve">A reference to consult, not a document to read through. One row per document: what</w:t>
      </w:r>
      <w:r>
        <w:t xml:space="preserve"> </w:t>
      </w:r>
      <w:r>
        <w:t xml:space="preserve">it issues, what triggers it, its status with the date that was checked, and a check you can run</w:t>
      </w:r>
      <w:r>
        <w:t xml:space="preserve"> </w:t>
      </w:r>
      <w:r>
        <w:t xml:space="preserve">yourself.</w:t>
      </w:r>
    </w:p>
    <w:p>
      <w:pPr>
        <w:pStyle w:val="BodyText"/>
      </w:pPr>
      <w:r>
        <w:rPr>
          <w:b/>
          <w:bCs/>
        </w:rPr>
        <w:t xml:space="preserve">Why it matters.</w:t>
      </w:r>
      <w:r>
        <w:t xml:space="preserve"> </w:t>
      </w:r>
      <w:r>
        <w:t xml:space="preserve">The tables come first and everything after them explains the cuts, so a reader</w:t>
      </w:r>
      <w:r>
        <w:t xml:space="preserve"> </w:t>
      </w:r>
      <w:r>
        <w:t xml:space="preserve">who came here to look one thing up is not made to read an argument first. Those sections are the</w:t>
      </w:r>
      <w:r>
        <w:t xml:space="preserve"> </w:t>
      </w:r>
      <w:r>
        <w:t xml:space="preserve">part worth reading once.</w:t>
      </w:r>
    </w:p>
    <w:p>
      <w:pPr>
        <w:pStyle w:val="BodyText"/>
      </w:pPr>
      <w:r>
        <w:rPr>
          <w:b/>
          <w:bCs/>
        </w:rPr>
        <w:t xml:space="preserve">Not for you</w:t>
      </w:r>
      <w:r>
        <w:t xml:space="preserve"> </w:t>
      </w:r>
      <w:r>
        <w:t xml:space="preserve">as a statement about what binds your organization. A clause number decides that,</w:t>
      </w:r>
      <w:r>
        <w:t xml:space="preserve"> </w:t>
      </w:r>
      <w:r>
        <w:t xml:space="preserve">applying to your situation is not the same thing as binding you, and nothing here is legal advice.</w:t>
      </w:r>
    </w:p>
    <w:p>
      <w:pPr>
        <w:pStyle w:val="BodyText"/>
      </w:pPr>
      <w:r>
        <w:rPr>
          <w:b/>
          <w:bCs/>
        </w:rPr>
        <w:t xml:space="preserve">Where to start.</w:t>
      </w:r>
      <w:r>
        <w:t xml:space="preserve"> </w:t>
      </w:r>
      <w:hyperlink w:anchor="Xf026880490802bdec86a71b6a5a431a077c0f4d">
        <w:r>
          <w:rPr>
            <w:rStyle w:val="Hyperlink"/>
          </w:rPr>
          <w:t xml:space="preserve">Three things to hold while reading any row</w:t>
        </w:r>
      </w:hyperlink>
      <w:r>
        <w:t xml:space="preserve">.</w:t>
      </w:r>
      <w:r>
        <w:t xml:space="preserve"> </w:t>
      </w:r>
      <w:r>
        <w:t xml:space="preserve">If you do not yet know which of these documents is worth your attention, you are on the wrong page:</w:t>
      </w:r>
      <w:r>
        <w:t xml:space="preserve"> </w:t>
      </w:r>
      <w:r>
        <w:t xml:space="preserve">start at</w:t>
      </w:r>
      <w:r>
        <w:t xml:space="preserve"> </w:t>
      </w:r>
      <w:hyperlink r:id="rId9">
        <w:r>
          <w:rPr>
            <w:rStyle w:val="Hyperlink"/>
          </w:rPr>
          <w:t xml:space="preserve">which standards apply to you</w:t>
        </w:r>
      </w:hyperlink>
      <w:r>
        <w:t xml:space="preserve">.</w:t>
      </w:r>
    </w:p>
    <w:p>
      <w:r>
        <w:pict>
          <v:rect style="width:0;height:1.5pt" o:hralign="center" o:hrstd="t" o:hr="t"/>
        </w:pict>
      </w:r>
    </w:p>
    <w:bookmarkEnd w:id="13"/>
    <w:bookmarkStart w:id="15" w:name="Xf026880490802bdec86a71b6a5a431a077c0f4d"/>
    <w:p>
      <w:pPr>
        <w:pStyle w:val="Heading2"/>
      </w:pPr>
      <w:r>
        <w:t xml:space="preserve">Three things to hold while reading any row</w:t>
      </w:r>
    </w:p>
    <w:p>
      <w:pPr>
        <w:pStyle w:val="Compact"/>
        <w:numPr>
          <w:ilvl w:val="0"/>
          <w:numId w:val="1001"/>
        </w:numPr>
      </w:pPr>
      <w:r>
        <w:rPr>
          <w:b/>
          <w:bCs/>
        </w:rPr>
        <w:t xml:space="preserve">Every status was checked on 2026-08-06</w:t>
      </w:r>
      <w:r>
        <w:t xml:space="preserve">, stated once here rather than repeated in every cell.</w:t>
      </w:r>
      <w:r>
        <w:t xml:space="preserve"> </w:t>
      </w:r>
      <w:r>
        <w:t xml:space="preserve">Where a cell says "the check date", it means that one.</w:t>
      </w:r>
    </w:p>
    <w:p>
      <w:pPr>
        <w:pStyle w:val="Compact"/>
        <w:numPr>
          <w:ilvl w:val="0"/>
          <w:numId w:val="1001"/>
        </w:numPr>
      </w:pPr>
      <w:r>
        <w:rPr>
          <w:b/>
          <w:bCs/>
        </w:rPr>
        <w:t xml:space="preserve">This is a snapshot, not a maintained register.</w:t>
      </w:r>
      <w:r>
        <w:t xml:space="preserve"> </w:t>
      </w:r>
      <w:r>
        <w:t xml:space="preserve">Several of these facts changed within the</w:t>
      </w:r>
      <w:r>
        <w:t xml:space="preserve"> </w:t>
      </w:r>
      <w:r>
        <w:t xml:space="preserve">twelve months before that date, and some will have changed since. Re-check anything you intend</w:t>
      </w:r>
      <w:r>
        <w:t xml:space="preserve"> </w:t>
      </w:r>
      <w:r>
        <w:t xml:space="preserve">to rely on; each row says how.</w:t>
      </w:r>
    </w:p>
    <w:p>
      <w:pPr>
        <w:pStyle w:val="Compact"/>
        <w:numPr>
          <w:ilvl w:val="0"/>
          <w:numId w:val="1001"/>
        </w:numPr>
      </w:pPr>
      <w:r>
        <w:rPr>
          <w:b/>
          <w:bCs/>
        </w:rPr>
        <w:t xml:space="preserve">"At least these."</w:t>
      </w:r>
      <w:r>
        <w:t xml:space="preserve"> </w:t>
      </w:r>
      <w:r>
        <w:t xml:space="preserve">This is not a complete map of the landscape and does not claim to be.</w:t>
      </w:r>
      <w:r>
        <w:t xml:space="preserve"> </w:t>
      </w:r>
      <w:hyperlink r:id="rId14">
        <w:r>
          <w:rPr>
            <w:rStyle w:val="Hyperlink"/>
          </w:rPr>
          <w:t xml:space="preserve">What the routing page did not assess</w:t>
        </w:r>
      </w:hyperlink>
      <w:r>
        <w:t xml:space="preserve"> </w:t>
      </w:r>
      <w:r>
        <w:t xml:space="preserve">names what is missing on purpose -- do not read its silence as coverage. That link is written out</w:t>
      </w:r>
      <w:r>
        <w:t xml:space="preserve"> </w:t>
      </w:r>
      <w:r>
        <w:t xml:space="preserve">in full because a relative one is dead in a downloaded Word file.</w:t>
      </w:r>
    </w:p>
    <w:p>
      <w:pPr>
        <w:pStyle w:val="FirstParagraph"/>
      </w:pPr>
      <w:r>
        <w:rPr>
          <w:b/>
          <w:bCs/>
        </w:rPr>
        <w:t xml:space="preserve">Sorted by who each document makes demands of</w:t>
      </w:r>
      <w:r>
        <w:t xml:space="preserve">, which is the most stable fact about it: status,</w:t>
      </w:r>
      <w:r>
        <w:t xml:space="preserve"> </w:t>
      </w:r>
      <w:r>
        <w:t xml:space="preserve">trigger and enforcement machinery change constantly, and the audience almost never does. The column</w:t>
      </w:r>
      <w:r>
        <w:t xml:space="preserve"> </w:t>
      </w:r>
      <w:r>
        <w:t xml:space="preserve">asks whose conduct a document's sentences purport to govern, not whether anything obliges you to</w:t>
      </w:r>
      <w:r>
        <w:t xml:space="preserve"> </w:t>
      </w:r>
      <w:r>
        <w:t xml:space="preserve">follow them -- that is the trigger column's question, and most of the documents here oblige nobody</w:t>
      </w:r>
      <w:r>
        <w:t xml:space="preserve"> </w:t>
      </w:r>
      <w:r>
        <w:t xml:space="preserve">on their own. The last section is the one whose documents govern no one's conduct at all: they</w:t>
      </w:r>
      <w:r>
        <w:t xml:space="preserve"> </w:t>
      </w:r>
      <w:r>
        <w:t xml:space="preserve">define the terms other documents are written in, so it is named for what they are used for instead.</w:t>
      </w:r>
      <w:r>
        <w:t xml:space="preserve"> </w:t>
      </w:r>
      <w:r>
        <w:t xml:space="preserve">Every item appears in exactly one table.</w:t>
      </w:r>
    </w:p>
    <w:p>
      <w:pPr>
        <w:pStyle w:val="BodyText"/>
      </w:pPr>
      <w:r>
        <w:t xml:space="preserve">The sections below the tables are</w:t>
      </w:r>
      <w:r>
        <w:t xml:space="preserve"> </w:t>
      </w:r>
      <w:hyperlink w:anchor="who-a-document-is-addressed-to">
        <w:r>
          <w:rPr>
            <w:rStyle w:val="Hyperlink"/>
          </w:rPr>
          <w:t xml:space="preserve">who a document is addressed to</w:t>
        </w:r>
      </w:hyperlink>
      <w:r>
        <w:t xml:space="preserve">,</w:t>
      </w:r>
      <w:r>
        <w:t xml:space="preserve"> </w:t>
      </w:r>
      <w:hyperlink w:anchor="Xec54665e908c89ecc68195cf1b924f4fd00fad3">
        <w:r>
          <w:rPr>
            <w:rStyle w:val="Hyperlink"/>
          </w:rPr>
          <w:t xml:space="preserve">the organization layer is not the software layer</w:t>
        </w:r>
      </w:hyperlink>
      <w:r>
        <w:t xml:space="preserve">,</w:t>
      </w:r>
      <w:r>
        <w:t xml:space="preserve"> </w:t>
      </w:r>
      <w:hyperlink w:anchor="how-these-actually-arrive">
        <w:r>
          <w:rPr>
            <w:rStyle w:val="Hyperlink"/>
          </w:rPr>
          <w:t xml:space="preserve">how these actually arrive</w:t>
        </w:r>
      </w:hyperlink>
      <w:r>
        <w:t xml:space="preserve"> </w:t>
      </w:r>
      <w:r>
        <w:t xml:space="preserve">and</w:t>
      </w:r>
      <w:r>
        <w:t xml:space="preserve"> </w:t>
      </w:r>
      <w:hyperlink w:anchor="why-every-status-carries-a-date">
        <w:r>
          <w:rPr>
            <w:rStyle w:val="Hyperlink"/>
          </w:rPr>
          <w:t xml:space="preserve">why every status carries a date</w:t>
        </w:r>
      </w:hyperlink>
      <w:r>
        <w:t xml:space="preserve">.</w:t>
      </w:r>
    </w:p>
    <w:p>
      <w:r>
        <w:pict>
          <v:rect style="width:0;height:1.5pt" o:hralign="center" o:hrstd="t" o:hr="t"/>
        </w:pict>
      </w:r>
    </w:p>
    <w:bookmarkEnd w:id="15"/>
    <w:bookmarkStart w:id="16" w:name="what-each-one-issues"/>
    <w:p>
      <w:pPr>
        <w:pStyle w:val="Heading2"/>
      </w:pPr>
      <w:r>
        <w:t xml:space="preserve">What each one issues</w:t>
      </w:r>
    </w:p>
    <w:p>
      <w:pPr>
        <w:pStyle w:val="FirstParagraph"/>
      </w:pPr>
      <w:r>
        <w:t xml:space="preserve">Read this column first when somebody asks you for an artifact. Most of the documents on this page</w:t>
      </w:r>
      <w:r>
        <w:t xml:space="preserve"> </w:t>
      </w:r>
      <w:r>
        <w:t xml:space="preserve">issue nothing at all, and being asked for a certificate that does not exist is the routine case</w:t>
      </w:r>
      <w:r>
        <w:t xml:space="preserve"> </w:t>
      </w:r>
      <w:r>
        <w:t xml:space="preserve">rather than the unusual one.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It issues</w:t>
            </w:r>
          </w:p>
        </w:tc>
        <w:tc>
          <w:tcPr/>
          <w:p>
            <w:pPr>
              <w:pStyle w:val="Compact"/>
            </w:pPr>
            <w:r>
              <w:t xml:space="preserve">What that means when somebody asks you for it</w:t>
            </w:r>
          </w:p>
        </w:tc>
        <w:tc>
          <w:tcPr/>
          <w:p>
            <w:pPr>
              <w:pStyle w:val="Compact"/>
            </w:pPr>
            <w:r>
              <w:t xml:space="preserve">Examples below</w:t>
            </w:r>
          </w:p>
        </w:tc>
      </w:tr>
      <w:tr>
        <w:tc>
          <w:tcPr/>
          <w:p>
            <w:pPr>
              <w:pStyle w:val="Compact"/>
            </w:pPr>
            <w:r>
              <w:rPr>
                <w:b/>
                <w:bCs/>
              </w:rPr>
              <w:t xml:space="preserve">Nothing</w:t>
            </w:r>
          </w:p>
        </w:tc>
        <w:tc>
          <w:tcPr/>
          <w:p>
            <w:pPr>
              <w:pStyle w:val="Compact"/>
            </w:pPr>
            <w:r>
              <w:t xml:space="preserve">There is no artifact to obtain. Offer what exists: named control correspondences, your own evidence, a written program</w:t>
            </w:r>
          </w:p>
        </w:tc>
        <w:tc>
          <w:tcPr/>
          <w:p>
            <w:pPr>
              <w:pStyle w:val="Compact"/>
            </w:pPr>
            <w:r>
              <w:t xml:space="preserve">Most items here, including every framework and every control catalog</w:t>
            </w:r>
          </w:p>
        </w:tc>
      </w:tr>
      <w:tr>
        <w:tc>
          <w:tcPr/>
          <w:p>
            <w:pPr>
              <w:pStyle w:val="Compact"/>
            </w:pPr>
            <w:r>
              <w:rPr>
                <w:b/>
                <w:bCs/>
              </w:rPr>
              <w:t xml:space="preserve">A self-attestation you sign yourself</w:t>
            </w:r>
          </w:p>
        </w:tc>
        <w:tc>
          <w:tcPr/>
          <w:p>
            <w:pPr>
              <w:pStyle w:val="Compact"/>
            </w:pPr>
            <w:r>
              <w:t xml:space="preserve">The signature is the instrument, and the exposure is yours. Nobody independent looked</w:t>
            </w:r>
          </w:p>
        </w:tc>
        <w:tc>
          <w:tcPr/>
          <w:p>
            <w:pPr>
              <w:pStyle w:val="Compact"/>
            </w:pPr>
            <w:r>
              <w:t xml:space="preserve">The federal attestation form; the defense self-assessment score and annual affirmation</w:t>
            </w:r>
          </w:p>
        </w:tc>
      </w:tr>
      <w:tr>
        <w:tc>
          <w:tcPr/>
          <w:p>
            <w:pPr>
              <w:pStyle w:val="Compact"/>
            </w:pPr>
            <w:r>
              <w:rPr>
                <w:b/>
                <w:bCs/>
              </w:rPr>
              <w:t xml:space="preserve">An assessment or examination report</w:t>
            </w:r>
          </w:p>
        </w:tc>
        <w:tc>
          <w:tcPr/>
          <w:p>
            <w:pPr>
              <w:pStyle w:val="Compact"/>
            </w:pPr>
            <w:r>
              <w:t xml:space="preserve">Usually restricted in use, and there is no pass mark. One carries a licensed firm's opinion; a CUI assessment carries findings only</w:t>
            </w:r>
          </w:p>
        </w:tc>
        <w:tc>
          <w:tcPr/>
          <w:p>
            <w:pPr>
              <w:pStyle w:val="Compact"/>
            </w:pPr>
            <w:r>
              <w:t xml:space="preserve">SOC 2; a CUI assessment run to the published procedures</w:t>
            </w:r>
          </w:p>
        </w:tc>
      </w:tr>
      <w:tr>
        <w:tc>
          <w:tcPr/>
          <w:p>
            <w:pPr>
              <w:pStyle w:val="Compact"/>
            </w:pPr>
            <w:r>
              <w:rPr>
                <w:b/>
                <w:bCs/>
              </w:rPr>
              <w:t xml:space="preserve">A third-party certificate from an accredited body</w:t>
            </w:r>
          </w:p>
        </w:tc>
        <w:tc>
          <w:tcPr/>
          <w:p>
            <w:pPr>
              <w:pStyle w:val="Compact"/>
            </w:pPr>
            <w:r>
              <w:t xml:space="preserve">A certificate for a stated scope. The accreditation is what gives it weight</w:t>
            </w:r>
          </w:p>
        </w:tc>
        <w:tc>
          <w:tcPr/>
          <w:p>
            <w:pPr>
              <w:pStyle w:val="Compact"/>
            </w:pPr>
            <w:r>
              <w:t xml:space="preserve">ISO/IEC 27001; one rung of the defense program</w:t>
            </w:r>
          </w:p>
        </w:tc>
      </w:tr>
      <w:tr>
        <w:tc>
          <w:tcPr/>
          <w:p>
            <w:pPr>
              <w:pStyle w:val="Compact"/>
            </w:pPr>
            <w:r>
              <w:rPr>
                <w:b/>
                <w:bCs/>
              </w:rPr>
              <w:t xml:space="preserve">A government program status or certification</w:t>
            </w:r>
          </w:p>
        </w:tc>
        <w:tc>
          <w:tcPr/>
          <w:p>
            <w:pPr>
              <w:pStyle w:val="Compact"/>
            </w:pPr>
            <w:r>
              <w:t xml:space="preserve">A status recorded and published by the program, for a named offering rather than for a company</w:t>
            </w:r>
          </w:p>
        </w:tc>
        <w:tc>
          <w:tcPr/>
          <w:p>
            <w:pPr>
              <w:pStyle w:val="Compact"/>
            </w:pPr>
            <w:r>
              <w:t xml:space="preserve">FedRAMP, GovRAMP</w:t>
            </w:r>
          </w:p>
        </w:tc>
      </w:tr>
      <w:tr>
        <w:tc>
          <w:tcPr/>
          <w:p>
            <w:pPr>
              <w:pStyle w:val="Compact"/>
            </w:pPr>
            <w:r>
              <w:rPr>
                <w:b/>
                <w:bCs/>
              </w:rPr>
              <w:t xml:space="preserve">A conformity mark you affix yourself after your own assessment</w:t>
            </w:r>
          </w:p>
        </w:tc>
        <w:tc>
          <w:tcPr/>
          <w:p>
            <w:pPr>
              <w:pStyle w:val="Compact"/>
            </w:pPr>
            <w:r>
              <w:t xml:space="preserve">You assess, declare and mark. A third body is involved only for some product classes</w:t>
            </w:r>
          </w:p>
        </w:tc>
        <w:tc>
          <w:tcPr/>
          <w:p>
            <w:pPr>
              <w:pStyle w:val="Compact"/>
            </w:pPr>
            <w:r>
              <w:t xml:space="preserve">The EU Cyber Resilience Act</w:t>
            </w:r>
          </w:p>
        </w:tc>
      </w:tr>
      <w:tr>
        <w:tc>
          <w:tcPr/>
          <w:p>
            <w:pPr>
              <w:pStyle w:val="Compact"/>
            </w:pPr>
            <w:r>
              <w:rPr>
                <w:b/>
                <w:bCs/>
              </w:rPr>
              <w:t xml:space="preserve">Identifiers, a score, or a measurement definition</w:t>
            </w:r>
          </w:p>
        </w:tc>
        <w:tc>
          <w:tcPr/>
          <w:p>
            <w:pPr>
              <w:pStyle w:val="Compact"/>
            </w:pPr>
            <w:r>
              <w:t xml:space="preserve">Data, not a verdict. A measurement definition produces a number only once some tool implements it</w:t>
            </w:r>
          </w:p>
        </w:tc>
        <w:tc>
          <w:tcPr/>
          <w:p>
            <w:pPr>
              <w:pStyle w:val="Compact"/>
            </w:pPr>
            <w:r>
              <w:t xml:space="preserve">CWE, CVE, EPSS, the automated source code measures</w:t>
            </w:r>
          </w:p>
        </w:tc>
      </w:tr>
    </w:tbl>
    <w:p>
      <w:r>
        <w:pict>
          <v:rect style="width:0;height:1.5pt" o:hralign="center" o:hrstd="t" o:hr="t"/>
        </w:pict>
      </w:r>
    </w:p>
    <w:bookmarkEnd w:id="16"/>
    <w:bookmarkStart w:id="20" w:name="makes-demands-of-a-software-producer"/>
    <w:p>
      <w:pPr>
        <w:pStyle w:val="Heading2"/>
      </w:pPr>
      <w:r>
        <w:t xml:space="preserve">Makes demands of a software producer</w:t>
      </w:r>
    </w:p>
    <w:p>
      <w:pPr>
        <w:pStyle w:val="FirstParagraph"/>
      </w:pPr>
      <w:r>
        <w:t xml:space="preserve">These describe how software is built and released. One of them binds a producer directly; the rest</w:t>
      </w:r>
      <w:r>
        <w:t xml:space="preserve"> </w:t>
      </w:r>
      <w:r>
        <w:t xml:space="preserve">arrive only when a customer, a contract or a package ecosystem names them.</w:t>
      </w:r>
    </w:p>
    <w:bookmarkStart w:id="18" w:name="requirement-shaped-items"/>
    <w:p>
      <w:pPr>
        <w:pStyle w:val="Heading3"/>
      </w:pPr>
      <w:r>
        <w:t xml:space="preserve">Requirement-shaped items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EU Cyber Resilience Act, Regulation (EU) 2024/2847</w:t>
            </w:r>
          </w:p>
        </w:tc>
        <w:tc>
          <w:tcPr/>
          <w:p>
            <w:pPr>
              <w:pStyle w:val="Compact"/>
            </w:pPr>
            <w:r>
              <w:t xml:space="preserve">A declaration of conformity and a mark you affix yourself after your own assessment. Some product classes require a notified body.</w:t>
            </w:r>
          </w:p>
        </w:tc>
        <w:tc>
          <w:tcPr/>
          <w:p>
            <w:pPr>
              <w:pStyle w:val="Compact"/>
            </w:pPr>
            <w:r>
              <w:t xml:space="preserve">Placing a product with digital elements on the EU market. The trigger is where the product goes, not who buys it.</w:t>
            </w:r>
          </w:p>
        </w:tc>
        <w:tc>
          <w:tcPr/>
          <w:p>
            <w:pPr>
              <w:pStyle w:val="Compact"/>
            </w:pPr>
            <w:r>
              <w:t xml:space="preserve">In force 2024-12-10. Reporting obligations apply from 2026-09-11, ahead of the rest of it; the main body of obligations from 2027-12-11.</w:t>
            </w:r>
          </w:p>
        </w:tc>
        <w:tc>
          <w:tcPr/>
          <w:p>
            <w:pPr>
              <w:pStyle w:val="Compact"/>
            </w:pPr>
            <w:r>
              <w:t xml:space="preserve">Routinely treated as something a customer asks for. It is a market-access rule you satisfy before you ship, and the owner is engineering and release, not the compliance function.</w:t>
            </w:r>
          </w:p>
        </w:tc>
      </w:tr>
      <w:tr>
        <w:tc>
          <w:tcPr/>
          <w:p>
            <w:pPr>
              <w:pStyle w:val="Compact"/>
            </w:pPr>
            <w:r>
              <w:rPr>
                <w:b/>
                <w:bCs/>
              </w:rPr>
              <w:t xml:space="preserve">NIST SP 800-218 v1.1 (SSDF)</w:t>
            </w:r>
          </w:p>
        </w:tc>
        <w:tc>
          <w:tcPr/>
          <w:p>
            <w:pPr>
              <w:pStyle w:val="Compact"/>
            </w:pPr>
            <w:r>
              <w:t xml:space="preserve">Nothing. No conformance criteria, no levels, no assessment procedure.</w:t>
            </w:r>
          </w:p>
        </w:tc>
        <w:tc>
          <w:tcPr/>
          <w:p>
            <w:pPr>
              <w:pStyle w:val="Compact"/>
            </w:pPr>
            <w:r>
              <w:t xml:space="preserve">A contract clause, an agency assurance policy, or a questionnaire quoting practice identifiers.</w:t>
            </w:r>
          </w:p>
        </w:tc>
        <w:tc>
          <w:tcPr/>
          <w:p>
            <w:pPr>
              <w:pStyle w:val="Compact"/>
            </w:pPr>
            <w:r>
              <w:t xml:space="preserve">Final since 2022-02-03 and not withdrawn. A draft successor, SP 800-218r1 (v1.2), has been open since 2025-12-17 and is not final.</w:t>
            </w:r>
          </w:p>
        </w:tc>
        <w:tc>
          <w:tcPr/>
          <w:p>
            <w:pPr>
              <w:pStyle w:val="Compact"/>
            </w:pPr>
            <w:r>
              <w:t xml:space="preserve">"Map controls to the current SSDF, or to SSDF 1.2." v1.1 of 2022 is the only final version. The publisher's own publications listing shows Final against one and Draft against the other.</w:t>
            </w:r>
          </w:p>
        </w:tc>
      </w:tr>
      <w:tr>
        <w:tc>
          <w:tcPr/>
          <w:p>
            <w:pPr>
              <w:pStyle w:val="Compact"/>
            </w:pPr>
            <w:r>
              <w:rPr>
                <w:b/>
                <w:bCs/>
              </w:rPr>
              <w:t xml:space="preserve">NIST SP 800-218A (SSDF community profile for AI models)</w:t>
            </w:r>
          </w:p>
        </w:tc>
        <w:tc>
          <w:tcPr/>
          <w:p>
            <w:pPr>
              <w:pStyle w:val="Compact"/>
            </w:pPr>
            <w:r>
              <w:t xml:space="preserve">Nothing.</w:t>
            </w:r>
          </w:p>
        </w:tc>
        <w:tc>
          <w:tcPr/>
          <w:p>
            <w:pPr>
              <w:pStyle w:val="Compact"/>
            </w:pPr>
            <w:r>
              <w:t xml:space="preserve">Building or fine-tuning generative AI or dual-use foundation models, when a contract names it.</w:t>
            </w:r>
          </w:p>
        </w:tc>
        <w:tc>
          <w:tcPr/>
          <w:p>
            <w:pPr>
              <w:pStyle w:val="Compact"/>
            </w:pPr>
            <w:r>
              <w:t xml:space="preserve">Final 2024-07-26. The executive order that commissioned it was revoked 2025-01-20; the publication itself stands.</w:t>
            </w:r>
          </w:p>
        </w:tc>
        <w:tc>
          <w:tcPr/>
          <w:p>
            <w:pPr>
              <w:pStyle w:val="Compact"/>
            </w:pPr>
            <w:r>
              <w:t xml:space="preserve">Its declared scope is producing AI models. Its single sentence on assisted code says the practices do not distinguish it from human-written code, which is a scoping exclusion rather than guidance. Search the publication for that sentence -- it is the whole of the coverage.</w:t>
            </w:r>
          </w:p>
        </w:tc>
      </w:tr>
      <w:tr>
        <w:tc>
          <w:tcPr/>
          <w:p>
            <w:pPr>
              <w:pStyle w:val="Compact"/>
            </w:pPr>
            <w:r>
              <w:rPr>
                <w:b/>
                <w:bCs/>
              </w:rPr>
              <w:t xml:space="preserve">CISA Secure Software Development Attestation Form</w:t>
            </w:r>
          </w:p>
        </w:tc>
        <w:tc>
          <w:tcPr/>
          <w:p>
            <w:pPr>
              <w:pStyle w:val="Compact"/>
            </w:pPr>
            <w:r>
              <w:t xml:space="preserve">A self-attestation signed by an executive, or, on an alternative route the form itself permits, a third-party assessment attached in place of the signature. Not a certificate and not an audit.</w:t>
            </w:r>
          </w:p>
        </w:tc>
        <w:tc>
          <w:tcPr/>
          <w:p>
            <w:pPr>
              <w:pStyle w:val="Compact"/>
            </w:pPr>
            <w:r>
              <w:t xml:space="preserve">An individual agency's contract term or request.</w:t>
            </w:r>
          </w:p>
        </w:tc>
        <w:tc>
          <w:tcPr/>
          <w:p>
            <w:pPr>
              <w:pStyle w:val="Compact"/>
            </w:pPr>
            <w:r>
              <w:t xml:space="preserve">Still published, with clearance to 2027-03-31. Optional for agencies since the memoranda requiring it were rescinded on 2026-01-23.</w:t>
            </w:r>
          </w:p>
        </w:tc>
        <w:tc>
          <w:tcPr/>
          <w:p>
            <w:pPr>
              <w:pStyle w:val="Compact"/>
            </w:pPr>
            <w:r>
              <w:t xml:space="preserve">"Sign the federal attestation form to sell software to the US government." The memoranda requiring agencies to collect it were rescinded on 2026-01-23. Agencies may still ask; none must. Read the rescinding memorandum at the publisher, then read your own contract's clauses.</w:t>
            </w:r>
          </w:p>
        </w:tc>
      </w:tr>
      <w:tr>
        <w:tc>
          <w:tcPr/>
          <w:p>
            <w:pPr>
              <w:pStyle w:val="Compact"/>
            </w:pPr>
            <w:r>
              <w:rPr>
                <w:b/>
                <w:bCs/>
              </w:rPr>
              <w:t xml:space="preserve">OWASP ASVS 5.0.0</w:t>
            </w:r>
          </w:p>
        </w:tc>
        <w:tc>
          <w:tcPr/>
          <w:p>
            <w:pPr>
              <w:pStyle w:val="Compact"/>
            </w:pPr>
            <w:r>
              <w:t xml:space="preserve">Nothing. Its own assessment chapter states that OWASP certifies no vendor or software.</w:t>
            </w:r>
          </w:p>
        </w:tc>
        <w:tc>
          <w:tcPr/>
          <w:p>
            <w:pPr>
              <w:pStyle w:val="Compact"/>
            </w:pPr>
            <w:r>
              <w:t xml:space="preserve">A customer contract or questionnaire naming a verification level.</w:t>
            </w:r>
          </w:p>
        </w:tc>
        <w:tc>
          <w:tcPr/>
          <w:p>
            <w:pPr>
              <w:pStyle w:val="Compact"/>
            </w:pPr>
            <w:r>
              <w:t xml:space="preserve">Released 2025-05-30, superseding 4.0.3 of 2021-10-28. Identifiers were reorganized rather than carried across.</w:t>
            </w:r>
          </w:p>
        </w:tc>
        <w:tc>
          <w:tcPr/>
          <w:p>
            <w:pPr>
              <w:pStyle w:val="Compact"/>
            </w:pPr>
            <w:r>
              <w:t xml:space="preserve">Cited as though a level could be certified. Identifiers from the prior edition do not carry across either, so a policy quoting an old identifier resolves to something different or to nothing.</w:t>
            </w:r>
          </w:p>
        </w:tc>
      </w:tr>
      <w:tr>
        <w:tc>
          <w:tcPr/>
          <w:p>
            <w:pPr>
              <w:pStyle w:val="Compact"/>
            </w:pPr>
            <w:r>
              <w:rPr>
                <w:b/>
                <w:bCs/>
              </w:rPr>
              <w:t xml:space="preserve">SLSA v1.2</w:t>
            </w:r>
          </w:p>
        </w:tc>
        <w:tc>
          <w:tcPr/>
          <w:p>
            <w:pPr>
              <w:pStyle w:val="Compact"/>
            </w:pPr>
            <w:r>
              <w:t xml:space="preserve">Nothing. Machine-readable provenance the consumer verifies. There is no register of levels.</w:t>
            </w:r>
          </w:p>
        </w:tc>
        <w:tc>
          <w:tcPr/>
          <w:p>
            <w:pPr>
              <w:pStyle w:val="Compact"/>
            </w:pPr>
            <w:r>
              <w:t xml:space="preserve">A customer or a package ecosystem asking for build provenance.</w:t>
            </w:r>
          </w:p>
        </w:tc>
        <w:tc>
          <w:tcPr/>
          <w:p>
            <w:pPr>
              <w:pStyle w:val="Compact"/>
            </w:pPr>
            <w:r>
              <w:t xml:space="preserve">Approved 2025-11-12, released 2025-11-24. It restored a Source track with four levels; there is still no Build L4.</w:t>
            </w:r>
          </w:p>
        </w:tc>
        <w:tc>
          <w:tcPr/>
          <w:p>
            <w:pPr>
              <w:pStyle w:val="Compact"/>
            </w:pPr>
            <w:r>
              <w:t xml:space="preserve">"Require SLSA Level 4." There is no Build L4. Since v1.2 there is a Source L4, so a bare level number no longer identifies a requirement. Read the specification's own track pages and write the track beside the level.</w:t>
            </w:r>
          </w:p>
        </w:tc>
      </w:tr>
      <w:tr>
        <w:tc>
          <w:tcPr/>
          <w:p>
            <w:pPr>
              <w:pStyle w:val="Compact"/>
            </w:pPr>
            <w:r>
              <w:rPr>
                <w:b/>
                <w:bCs/>
              </w:rPr>
              <w:t xml:space="preserve">CISA 2026 Minimum Elements for an SBOM</w:t>
            </w:r>
          </w:p>
        </w:tc>
        <w:tc>
          <w:tcPr/>
          <w:p>
            <w:pPr>
              <w:pStyle w:val="Compact"/>
            </w:pPr>
            <w:r>
              <w:t xml:space="preserve">Nothing. It defines fields, states that it creates no new requirements, and places accuracy, coverage and completeness out of its own scope.</w:t>
            </w:r>
          </w:p>
        </w:tc>
        <w:tc>
          <w:tcPr/>
          <w:p>
            <w:pPr>
              <w:pStyle w:val="Compact"/>
            </w:pPr>
            <w:r>
              <w:t xml:space="preserve">A contract term requiring an SBOM. In US federal contracting that is now each agency's own choice.</w:t>
            </w:r>
          </w:p>
        </w:tc>
        <w:tc>
          <w:tcPr/>
          <w:p>
            <w:pPr>
              <w:pStyle w:val="Compact"/>
            </w:pPr>
            <w:r>
              <w:t xml:space="preserve">Published 2026-07-29, replacing the minimum elements of 2021-07-12.</w:t>
            </w:r>
          </w:p>
        </w:tc>
        <w:tc>
          <w:tcPr/>
          <w:p>
            <w:pPr>
              <w:pStyle w:val="Compact"/>
            </w:pPr>
            <w:r>
              <w:t xml:space="preserve">"Generate SBOMs to the NTIA 2021 minimum elements." Those were replaced on 2026-07-29. Separately, a conforming SBOM can still be inaccurate and incomplete -- the 2026 elements say so themselves and point at a signature, at binary analysis, and at exploitability advisories as separate mechanisms.</w:t>
            </w:r>
          </w:p>
        </w:tc>
      </w:tr>
      <w:tr>
        <w:tc>
          <w:tcPr/>
          <w:p>
            <w:pPr>
              <w:pStyle w:val="Compact"/>
            </w:pPr>
            <w:r>
              <w:rPr>
                <w:b/>
                <w:bCs/>
              </w:rPr>
              <w:t xml:space="preserve">ISO/IEC 5055:2021 and OMG ASCQM 1.1</w:t>
            </w:r>
          </w:p>
        </w:tc>
        <w:tc>
          <w:tcPr/>
          <w:p>
            <w:pPr>
              <w:pStyle w:val="Compact"/>
            </w:pPr>
            <w:r>
              <w:t xml:space="preserve">Nothing. Defined counts of severe structural weaknesses, once a tool implements them.</w:t>
            </w:r>
          </w:p>
        </w:tc>
        <w:tc>
          <w:tcPr/>
          <w:p>
            <w:pPr>
              <w:pStyle w:val="Compact"/>
            </w:pPr>
            <w:r>
              <w:t xml:space="preserve">An enterprise or supplier contract specifying automated source code measures.</w:t>
            </w:r>
          </w:p>
        </w:tc>
        <w:tc>
          <w:tcPr/>
          <w:p>
            <w:pPr>
              <w:pStyle w:val="Compact"/>
            </w:pPr>
            <w:r>
              <w:t xml:space="preserve">ISO adoption announced 2021-04-07; ASCQM 1.1 formal since July 2022. One measure family in two venues, not two obligations.</w:t>
            </w:r>
          </w:p>
        </w:tc>
        <w:tc>
          <w:tcPr/>
          <w:p>
            <w:pPr>
              <w:pStyle w:val="Compact"/>
            </w:pPr>
            <w:r>
              <w:t xml:space="preserve">Read as two separate requirements because it appears under two publisher names.</w:t>
            </w:r>
          </w:p>
        </w:tc>
      </w:tr>
      <w:tr>
        <w:tc>
          <w:tcPr/>
          <w:p>
            <w:pPr>
              <w:pStyle w:val="Compact"/>
            </w:pPr>
            <w:r>
              <w:rPr>
                <w:b/>
                <w:bCs/>
              </w:rPr>
              <w:t xml:space="preserve">in-toto attestations and Sigstore signing</w:t>
            </w:r>
          </w:p>
        </w:tc>
        <w:tc>
          <w:tcPr/>
          <w:p>
            <w:pPr>
              <w:pStyle w:val="Compact"/>
            </w:pPr>
            <w:r>
              <w:t xml:space="preserve">Sigstore issues identity-bound short-lived certificates plus a public transparency log entry. These evidence who signed and when, and nothing about what was signed. Its public instances are community-operated with no service level.</w:t>
            </w:r>
          </w:p>
        </w:tc>
        <w:tc>
          <w:tcPr/>
          <w:p>
            <w:pPr>
              <w:pStyle w:val="Compact"/>
            </w:pPr>
            <w:r>
              <w:t xml:space="preserve">A provenance or signing requirement from a customer or a package ecosystem.</w:t>
            </w:r>
          </w:p>
        </w:tc>
        <w:tc>
          <w:tcPr/>
          <w:p>
            <w:pPr>
              <w:pStyle w:val="Compact"/>
            </w:pPr>
            <w:r>
              <w:t xml:space="preserve">No separate status is recorded here beyond the facts in this row.</w:t>
            </w:r>
          </w:p>
        </w:tc>
        <w:tc>
          <w:tcPr/>
          <w:p>
            <w:pPr>
              <w:pStyle w:val="Compact"/>
            </w:pPr>
            <w:r>
              <w:t xml:space="preserve">Offered as a choice against build provenance. Provenance is written as an in-toto attestation, so the two are layered rather than rival options; a requirements document offering a choice between them was written by someone who had not read either.</w:t>
            </w:r>
          </w:p>
        </w:tc>
      </w:tr>
    </w:tbl>
    <w:p>
      <w:pPr>
        <w:pStyle w:val="BodyText"/>
      </w:pPr>
      <w:r>
        <w:rPr>
          <w:b/>
          <w:bCs/>
        </w:rPr>
        <w:t xml:space="preserve">The federal attestation chain, because the cell cannot carry it.</w:t>
      </w:r>
      <w:r>
        <w:t xml:space="preserve"> </w:t>
      </w:r>
      <w:r>
        <w:t xml:space="preserve">EO 14028 (2021) directed the</w:t>
      </w:r>
      <w:r>
        <w:t xml:space="preserve"> </w:t>
      </w:r>
      <w:r>
        <w:t xml:space="preserve">guidance. OMB M-22-18 and M-23-16 turned it into a collection requirement. EO 14144 in January 2025</w:t>
      </w:r>
      <w:r>
        <w:t xml:space="preserve"> </w:t>
      </w:r>
      <w:r>
        <w:t xml:space="preserve">would have added submission to a repository, central verification and referral of failures, and EO</w:t>
      </w:r>
      <w:r>
        <w:t xml:space="preserve"> </w:t>
      </w:r>
      <w:r>
        <w:t xml:space="preserve">14306 struck that apparatus on 2025-06-06. OMB M-26-05 then rescinded the collection mandate itself</w:t>
      </w:r>
      <w:r>
        <w:t xml:space="preserve"> </w:t>
      </w:r>
      <w:r>
        <w:t xml:space="preserve">on 2026-01-23. Anyone describing a single January 2026 event has lost the fact that the verification</w:t>
      </w:r>
      <w:r>
        <w:t xml:space="preserve"> </w:t>
      </w:r>
      <w:r>
        <w:t xml:space="preserve">model was already gone in mid-2025. The status of the federal repository that received submissions is</w:t>
      </w:r>
      <w:r>
        <w:t xml:space="preserve"> </w:t>
      </w:r>
      <w:r>
        <w:t xml:space="preserve">unknown as of the check date: not reported running, not reported gone. And a signed self-attestation</w:t>
      </w:r>
      <w:r>
        <w:t xml:space="preserve"> </w:t>
      </w:r>
      <w:r>
        <w:t xml:space="preserve">is a different instrument from a certificate -- rescinding the instruction that prompted a signature</w:t>
      </w:r>
      <w:r>
        <w:t xml:space="preserve"> </w:t>
      </w:r>
      <w:r>
        <w:t xml:space="preserve">is prospective, and unsigns nothing. This is the worked example for the first shape of staleness in</w:t>
      </w:r>
      <w:r>
        <w:t xml:space="preserve"> </w:t>
      </w:r>
      <w:hyperlink w:anchor="why-every-status-carries-a-date">
        <w:r>
          <w:rPr>
            <w:rStyle w:val="Hyperlink"/>
          </w:rPr>
          <w:t xml:space="preserve">why every status carries a date</w:t>
        </w:r>
      </w:hyperlink>
      <w:r>
        <w:t xml:space="preserve">.</w:t>
      </w:r>
    </w:p>
    <w:p>
      <w:pPr>
        <w:pStyle w:val="BodyText"/>
      </w:pPr>
      <w:r>
        <w:t xml:space="preserve">Component inventory and build provenance as controls -- rather than as any named framework -- are</w:t>
      </w:r>
      <w:r>
        <w:t xml:space="preserve"> </w:t>
      </w:r>
      <w:r>
        <w:t xml:space="preserve">covered in</w:t>
      </w:r>
      <w:r>
        <w:t xml:space="preserve"> </w:t>
      </w:r>
      <w:hyperlink r:id="rId17">
        <w:r>
          <w:rPr>
            <w:rStyle w:val="Hyperlink"/>
          </w:rPr>
          <w:t xml:space="preserve">Dependency integrity</w:t>
        </w:r>
      </w:hyperlink>
      <w:r>
        <w:t xml:space="preserve">, which names no baseline and claims</w:t>
      </w:r>
      <w:r>
        <w:t xml:space="preserve"> </w:t>
      </w:r>
      <w:r>
        <w:t xml:space="preserve">correspondence with none.</w:t>
      </w:r>
    </w:p>
    <w:bookmarkEnd w:id="18"/>
    <w:bookmarkStart w:id="19" w:name="rankings-and-awareness-lists"/>
    <w:p>
      <w:pPr>
        <w:pStyle w:val="Heading3"/>
      </w:pPr>
      <w:r>
        <w:t xml:space="preserve">Rankings and awareness lists</w:t>
      </w:r>
    </w:p>
    <w:p>
      <w:pPr>
        <w:pStyle w:val="FirstParagraph"/>
      </w:pPr>
      <w:r>
        <w:rPr>
          <w:b/>
          <w:bCs/>
        </w:rPr>
        <w:t xml:space="preserve">A ranking has no completion condition and cannot be discharged as written.</w:t>
      </w:r>
      <w:r>
        <w:t xml:space="preserve"> </w:t>
      </w:r>
      <w:r>
        <w:t xml:space="preserve">A clause requiring</w:t>
      </w:r>
      <w:r>
        <w:t xml:space="preserve"> </w:t>
      </w:r>
      <w:r>
        <w:t xml:space="preserve">software to be free of the issues in an ordered list of categories never says when verification is</w:t>
      </w:r>
      <w:r>
        <w:t xml:space="preserve"> </w:t>
      </w:r>
      <w:r>
        <w:t xml:space="preserve">finished, so a program scoped that way finishes when the scanner stops printing. A requirement set is</w:t>
      </w:r>
      <w:r>
        <w:t xml:space="preserve"> </w:t>
      </w:r>
      <w:r>
        <w:t xml:space="preserve">verifiable item by item and has a defensible done. Convert a ranking clause into a requirement-set</w:t>
      </w:r>
      <w:r>
        <w:t xml:space="preserve"> </w:t>
      </w:r>
      <w:r>
        <w:t xml:space="preserve">clause</w:t>
      </w:r>
      <w:r>
        <w:t xml:space="preserve"> </w:t>
      </w:r>
      <w:r>
        <w:rPr>
          <w:b/>
          <w:bCs/>
        </w:rPr>
        <w:t xml:space="preserve">while the clause is being agreed</w:t>
      </w:r>
      <w:r>
        <w:t xml:space="preserve">: by assessment time the only remaining options are to</w:t>
      </w:r>
      <w:r>
        <w:t xml:space="preserve"> </w:t>
      </w:r>
      <w:r>
        <w:t xml:space="preserve">argue or to over-deliver. That conversation is the cheapest thing on this page.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OWASP Top 10:2025</w:t>
            </w:r>
          </w:p>
        </w:tc>
        <w:tc>
          <w:tcPr/>
          <w:p>
            <w:pPr>
              <w:pStyle w:val="Compact"/>
            </w:pPr>
            <w:r>
              <w:t xml:space="preserve">Nothing. OWASP calls it an awareness document.</w:t>
            </w:r>
          </w:p>
        </w:tc>
        <w:tc>
          <w:tcPr/>
          <w:p>
            <w:pPr>
              <w:pStyle w:val="Compact"/>
            </w:pPr>
            <w:r>
              <w:t xml:space="preserve">A contract clause or questionnaire saying a product was tested against it, and scanner report headings.</w:t>
            </w:r>
          </w:p>
        </w:tc>
        <w:tc>
          <w:tcPr/>
          <w:p>
            <w:pPr>
              <w:pStyle w:val="Compact"/>
            </w:pPr>
            <w:r>
              <w:t xml:space="preserve">The 2025 edition is current on the project's own page, which stamps no final publication date. A release candidate in November 2025 and finalization in January 2026, per secondary coverage. Two categories are new, and an older category was absorbed into another.</w:t>
            </w:r>
          </w:p>
        </w:tc>
        <w:tc>
          <w:tcPr/>
          <w:p>
            <w:pPr>
              <w:pStyle w:val="Compact"/>
            </w:pPr>
            <w:r>
              <w:t xml:space="preserve">A ranking has no completion condition and cannot be discharged as written. Convert it into a requirement-set clause while the clause is being agreed; by assessment time the only remaining options are to argue or to over-deliver.</w:t>
            </w:r>
          </w:p>
        </w:tc>
      </w:tr>
      <w:tr>
        <w:tc>
          <w:tcPr/>
          <w:p>
            <w:pPr>
              <w:pStyle w:val="Compact"/>
            </w:pPr>
            <w:r>
              <w:rPr>
                <w:b/>
                <w:bCs/>
              </w:rPr>
              <w:t xml:space="preserve">OWASP Top 10 for LLM Applications, 2026 edition</w:t>
            </w:r>
          </w:p>
        </w:tc>
        <w:tc>
          <w:tcPr/>
          <w:p>
            <w:pPr>
              <w:pStyle w:val="Compact"/>
            </w:pPr>
            <w:r>
              <w:t xml:space="preserve">Nothing.</w:t>
            </w:r>
          </w:p>
        </w:tc>
        <w:tc>
          <w:tcPr/>
          <w:p>
            <w:pPr>
              <w:pStyle w:val="Compact"/>
            </w:pPr>
            <w:r>
              <w:t xml:space="preserve">An AI feature review, a customer AI questionnaire, or an internal policy naming it.</w:t>
            </w:r>
          </w:p>
        </w:tc>
        <w:tc>
          <w:tcPr/>
          <w:p>
            <w:pPr>
              <w:pStyle w:val="Compact"/>
            </w:pPr>
            <w:r>
              <w:t xml:space="preserve">Dated 2026-08-03 on the project's own resource page, with press coverage on 2026-08-04. The prior edition dates from 2024-11-18.</w:t>
            </w:r>
          </w:p>
        </w:tc>
        <w:tc>
          <w:tcPr/>
          <w:p>
            <w:pPr>
              <w:pStyle w:val="Compact"/>
            </w:pPr>
            <w:r>
              <w:t xml:space="preserve">Offered as governance for what an AI coding assistant writes for you. It addresses securing an application that calls a language model at run time, which is a different subject, and the two are conflated constantly.</w:t>
            </w:r>
          </w:p>
        </w:tc>
      </w:tr>
      <w:tr>
        <w:tc>
          <w:tcPr/>
          <w:p>
            <w:pPr>
              <w:pStyle w:val="Compact"/>
            </w:pPr>
            <w:r>
              <w:rPr>
                <w:b/>
                <w:bCs/>
              </w:rPr>
              <w:t xml:space="preserve">CWE Top 25, 2025 edition</w:t>
            </w:r>
          </w:p>
        </w:tc>
        <w:tc>
          <w:tcPr/>
          <w:p>
            <w:pPr>
              <w:pStyle w:val="Compact"/>
            </w:pPr>
            <w:r>
              <w:t xml:space="preserve">Nothing.</w:t>
            </w:r>
          </w:p>
        </w:tc>
        <w:tc>
          <w:tcPr/>
          <w:p>
            <w:pPr>
              <w:pStyle w:val="Compact"/>
            </w:pPr>
            <w:r>
              <w:t xml:space="preserve">A policy or questionnaire naming it, and occasionally procurement language asking for coverage.</w:t>
            </w:r>
          </w:p>
        </w:tc>
        <w:tc>
          <w:tcPr/>
          <w:p>
            <w:pPr>
              <w:pStyle w:val="Compact"/>
            </w:pPr>
            <w:r>
              <w:t xml:space="preserve">2025 edition announced 2025-12-11, project page updated 2026-01-29. Any reference to a 2026 edition is unconfirmed.</w:t>
            </w:r>
          </w:p>
        </w:tc>
        <w:tc>
          <w:tcPr/>
          <w:p>
            <w:pPr>
              <w:pStyle w:val="Compact"/>
            </w:pPr>
            <w:r>
              <w:t xml:space="preserve">Same completion-condition problem as any ranking: it cannot be discharged as written.</w:t>
            </w:r>
          </w:p>
        </w:tc>
      </w:tr>
    </w:tbl>
    <w:p>
      <w:r>
        <w:pict>
          <v:rect style="width:0;height:1.5pt" o:hralign="center" o:hrstd="t" o:hr="t"/>
        </w:pict>
      </w:r>
    </w:p>
    <w:bookmarkEnd w:id="19"/>
    <w:bookmarkEnd w:id="20"/>
    <w:bookmarkStart w:id="25" w:name="Xf732b44ccd9dcaa3ad13ccfbaa99f570ae9e67a"/>
    <w:p>
      <w:pPr>
        <w:pStyle w:val="Heading2"/>
      </w:pPr>
      <w:r>
        <w:t xml:space="preserve">Makes demands of an organization, not a product</w:t>
      </w:r>
    </w:p>
    <w:p>
      <w:pPr>
        <w:pStyle w:val="FirstParagraph"/>
      </w:pPr>
      <w:r>
        <w:t xml:space="preserve">None of these certifies a product, and all of them are routinely offered as product evidence. Where</w:t>
      </w:r>
      <w:r>
        <w:t xml:space="preserve"> </w:t>
      </w:r>
      <w:r>
        <w:t xml:space="preserve">one applies to a software producer, it arrives through a contract rather than through the regime.</w:t>
      </w:r>
      <w:r>
        <w:t xml:space="preserve"> </w:t>
      </w:r>
      <w:r>
        <w:t xml:space="preserve">Why that distinction is the most useful sentence on the whole subject is under</w:t>
      </w:r>
      <w:r>
        <w:t xml:space="preserve"> </w:t>
      </w:r>
      <w:hyperlink w:anchor="Xec54665e908c89ecc68195cf1b924f4fd00fad3">
        <w:r>
          <w:rPr>
            <w:rStyle w:val="Hyperlink"/>
          </w:rPr>
          <w:t xml:space="preserve">the organization layer is not the software layer</w:t>
        </w:r>
      </w:hyperlink>
      <w:r>
        <w:t xml:space="preserve">,</w:t>
      </w:r>
      <w:r>
        <w:t xml:space="preserve"> </w:t>
      </w:r>
      <w:r>
        <w:t xml:space="preserve">below.</w:t>
      </w:r>
    </w:p>
    <w:bookmarkStart w:id="21" w:name="certification-and-program-regimes"/>
    <w:p>
      <w:pPr>
        <w:pStyle w:val="Heading3"/>
      </w:pPr>
      <w:r>
        <w:t xml:space="preserve">Certification and program regimes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ISO/IEC 27001:2022 (plus Amendment 1:2024)</w:t>
            </w:r>
          </w:p>
        </w:tc>
        <w:tc>
          <w:tcPr/>
          <w:p>
            <w:pPr>
              <w:pStyle w:val="Compact"/>
            </w:pPr>
            <w:r>
              <w:t xml:space="preserve">A third-party certificate from a certification body, for a stated scope. ISO itself issues nothing.</w:t>
            </w:r>
          </w:p>
        </w:tc>
        <w:tc>
          <w:tcPr/>
          <w:p>
            <w:pPr>
              <w:pStyle w:val="Compact"/>
            </w:pPr>
            <w:r>
              <w:t xml:space="preserve">A customer or procurement requirement, most often in vendor onboarding.</w:t>
            </w:r>
          </w:p>
        </w:tc>
        <w:tc>
          <w:tcPr/>
          <w:p>
            <w:pPr>
              <w:pStyle w:val="Compact"/>
            </w:pPr>
            <w:r>
              <w:t xml:space="preserve">Published 2022-10; Amendment 1 published 2024-02-23. The 2013-edition transition ended 2025-10-31, per secondary reporting.</w:t>
            </w:r>
          </w:p>
        </w:tc>
        <w:tc>
          <w:tcPr/>
          <w:p>
            <w:pPr>
              <w:pStyle w:val="Compact"/>
            </w:pPr>
            <w:r>
              <w:t xml:space="preserve">Read the scope statement on the certificate. A certificate whose scope covers one office or one business unit is common, and is not what the reader assumes. Called "the international SOC 2" universally, and it is a different instrument with a different failure mode: SOC 2 gives you an opinion plus exceptions, this gives you a certificate plus a scope statement.</w:t>
            </w:r>
          </w:p>
        </w:tc>
      </w:tr>
      <w:tr>
        <w:tc>
          <w:tcPr/>
          <w:p>
            <w:pPr>
              <w:pStyle w:val="Compact"/>
            </w:pPr>
            <w:r>
              <w:rPr>
                <w:b/>
                <w:bCs/>
              </w:rPr>
              <w:t xml:space="preserve">ISO/IEC 27002:2022</w:t>
            </w:r>
          </w:p>
        </w:tc>
        <w:tc>
          <w:tcPr/>
          <w:p>
            <w:pPr>
              <w:pStyle w:val="Compact"/>
            </w:pPr>
            <w:r>
              <w:t xml:space="preserve">Nothing. It explains how to implement the controls the certifiable standard lists.</w:t>
            </w:r>
          </w:p>
        </w:tc>
        <w:tc>
          <w:tcPr/>
          <w:p>
            <w:pPr>
              <w:pStyle w:val="Compact"/>
            </w:pPr>
            <w:r>
              <w:t xml:space="preserve">No independent trigger. It arrives beside a certification program, or in error on a questionnaire.</w:t>
            </w:r>
          </w:p>
        </w:tc>
        <w:tc>
          <w:tcPr/>
          <w:p>
            <w:pPr>
              <w:pStyle w:val="Compact"/>
            </w:pPr>
            <w:r>
              <w:t xml:space="preserve">Published 2022-02. It received a climate-related amendment in the same 2024 cycle; the designation was not confirmed.</w:t>
            </w:r>
          </w:p>
        </w:tc>
        <w:tc>
          <w:tcPr/>
          <w:p>
            <w:pPr>
              <w:pStyle w:val="Compact"/>
            </w:pPr>
            <w:r>
              <w:t xml:space="preserve">Named on a questionnaire as though a supplier could be certified or attest to it. Conformance to a guide is not a thing that exists.</w:t>
            </w:r>
          </w:p>
        </w:tc>
      </w:tr>
      <w:tr>
        <w:tc>
          <w:tcPr/>
          <w:p>
            <w:pPr>
              <w:pStyle w:val="Compact"/>
            </w:pPr>
            <w:r>
              <w:rPr>
                <w:b/>
                <w:bCs/>
              </w:rPr>
              <w:t xml:space="preserve">SOC 2 (Type 1 and Type 2)</w:t>
            </w:r>
          </w:p>
        </w:tc>
        <w:tc>
          <w:tcPr/>
          <w:p>
            <w:pPr>
              <w:pStyle w:val="Compact"/>
            </w:pPr>
            <w:r>
              <w:t xml:space="preserve">An examination report carrying a licensed firm's opinion. Restricted use, no pass mark, no certificate.</w:t>
            </w:r>
          </w:p>
        </w:tc>
        <w:tc>
          <w:tcPr/>
          <w:p>
            <w:pPr>
              <w:pStyle w:val="Compact"/>
            </w:pPr>
            <w:r>
              <w:t xml:space="preserve">A customer questionnaire or contract clause, overwhelmingly in US business-to-business sales.</w:t>
            </w:r>
          </w:p>
        </w:tc>
        <w:tc>
          <w:tcPr/>
          <w:p>
            <w:pPr>
              <w:pStyle w:val="Compact"/>
            </w:pPr>
            <w:r>
              <w:t xml:space="preserve">Criteria are the 2017 Trust Services Criteria with 2022 revised points of focus, posted 2023-09-30. The governing attestation standard applies to reports dated on or after 2022-06-15.</w:t>
            </w:r>
          </w:p>
        </w:tc>
        <w:tc>
          <w:tcPr/>
          <w:p>
            <w:pPr>
              <w:pStyle w:val="Compact"/>
            </w:pPr>
            <w:r>
              <w:t xml:space="preserve">Read the scope statement and the listed exceptions. A report with no exceptions over twelve months is unusual enough to be worth asking about, and the cover page tells you nothing. Type 2 covers operating effectiveness over a period, typically six to twelve months; Type 1 is a point-in-time design opinion only. If what you sell is distributed software rather than a hosted service, the product can sit entirely outside the report's scope boundary.</w:t>
            </w:r>
          </w:p>
        </w:tc>
      </w:tr>
      <w:tr>
        <w:tc>
          <w:tcPr/>
          <w:p>
            <w:pPr>
              <w:pStyle w:val="Compact"/>
            </w:pPr>
            <w:r>
              <w:rPr>
                <w:b/>
                <w:bCs/>
              </w:rPr>
              <w:t xml:space="preserve">HITRUST CSF (e1, i1, r2)</w:t>
            </w:r>
          </w:p>
        </w:tc>
        <w:tc>
          <w:tcPr/>
          <w:p>
            <w:pPr>
              <w:pStyle w:val="Compact"/>
            </w:pPr>
            <w:r>
              <w:t xml:space="preserve">A validated assessment result for an organization. There is no path by which distributable software is certified; the environment operating it can be.</w:t>
            </w:r>
          </w:p>
        </w:tc>
        <w:tc>
          <w:tcPr/>
          <w:p>
            <w:pPr>
              <w:pStyle w:val="Compact"/>
            </w:pPr>
            <w:r>
              <w:t xml:space="preserve">A customer or procurement requirement naming it. The sources behind this page state no independent trigger, so confirm it in the contract.</w:t>
            </w:r>
          </w:p>
        </w:tc>
        <w:tc>
          <w:tcPr/>
          <w:p>
            <w:pPr>
              <w:pStyle w:val="Compact"/>
            </w:pPr>
            <w:r>
              <w:t xml:space="preserve">Three tiers, and they are not interchangeable: e1 (essentials, one year, foundational controls), i1 (one year, established programs, middle assurance), r2 (highest, tailored and risk-based, for complex environments). The tier detail rests on secondary sources; verify anything more specific than the tier names and the scope-variance point at the publisher.</w:t>
            </w:r>
          </w:p>
        </w:tc>
        <w:tc>
          <w:tcPr/>
          <w:p>
            <w:pPr>
              <w:pStyle w:val="Compact"/>
            </w:pPr>
            <w:r>
              <w:t xml:space="preserve">Which tier, and what was in scope. "We are certified" stated without both tells a reader very little: scope drives control count enormously, and the same highest-tier result can be a few hundred controls for one organization and a few thousand for another.</w:t>
            </w:r>
          </w:p>
        </w:tc>
      </w:tr>
      <w:tr>
        <w:tc>
          <w:tcPr/>
          <w:p>
            <w:pPr>
              <w:pStyle w:val="Compact"/>
            </w:pPr>
            <w:r>
              <w:rPr>
                <w:b/>
                <w:bCs/>
              </w:rPr>
              <w:t xml:space="preserve">FedRAMP</w:t>
            </w:r>
          </w:p>
        </w:tc>
        <w:tc>
          <w:tcPr/>
          <w:p>
            <w:pPr>
              <w:pStyle w:val="Compact"/>
            </w:pPr>
            <w:r>
              <w:t xml:space="preserve">A program certification for a service offering, listed publicly. An agency's own authorization stays a separate decision.</w:t>
            </w:r>
          </w:p>
        </w:tc>
        <w:tc>
          <w:tcPr/>
          <w:p>
            <w:pPr>
              <w:pStyle w:val="Compact"/>
            </w:pPr>
            <w:r>
              <w:t xml:space="preserve">Selling a cloud service to a US federal agency.</w:t>
            </w:r>
          </w:p>
        </w:tc>
        <w:tc>
          <w:tcPr/>
          <w:p>
            <w:pPr>
              <w:pStyle w:val="Compact"/>
            </w:pPr>
            <w:r>
              <w:t xml:space="preserve">Founding 2011 memorandum rescinded 2024-07-25. Phase 3 of the replacement model active since 2026-04. Rev5 intake closes 2027-06-11.</w:t>
            </w:r>
          </w:p>
        </w:tc>
        <w:tc>
          <w:tcPr/>
          <w:p>
            <w:pPr>
              <w:pStyle w:val="Compact"/>
            </w:pPr>
            <w:r>
              <w:t xml:space="preserve">"It is an authorization not a certification, at low, moderate or high, via the JAB or an agency." The program uses certification vocabulary and lettered classes, and the board that granted provisional authorizations no longer does so. Delivering the old correction now makes you the out-of-date party. Read the program's own definitions page.</w:t>
            </w:r>
          </w:p>
        </w:tc>
      </w:tr>
      <w:tr>
        <w:tc>
          <w:tcPr/>
          <w:p>
            <w:pPr>
              <w:pStyle w:val="Compact"/>
            </w:pPr>
            <w:r>
              <w:rPr>
                <w:b/>
                <w:bCs/>
              </w:rPr>
              <w:t xml:space="preserve">GovRAMP (formerly StateRAMP)</w:t>
            </w:r>
          </w:p>
        </w:tc>
        <w:tc>
          <w:tcPr/>
          <w:p>
            <w:pPr>
              <w:pStyle w:val="Compact"/>
            </w:pPr>
            <w:r>
              <w:t xml:space="preserve">A verification status granted by the program office and published on a participants list.</w:t>
            </w:r>
          </w:p>
        </w:tc>
        <w:tc>
          <w:tcPr/>
          <w:p>
            <w:pPr>
              <w:pStyle w:val="Compact"/>
            </w:pPr>
            <w:r>
              <w:t xml:space="preserve">A US state, local, tribal or education procurement requirement, varying by jurisdiction.</w:t>
            </w:r>
          </w:p>
        </w:tc>
        <w:tc>
          <w:tcPr/>
          <w:p>
            <w:pPr>
              <w:pStyle w:val="Compact"/>
            </w:pPr>
            <w:r>
              <w:t xml:space="preserve">Rebranded 2025-02-14. StateRAMP remains the legal entity name, operating as GovRAMP, so both names are legitimately live.</w:t>
            </w:r>
          </w:p>
        </w:tc>
        <w:tc>
          <w:tcPr/>
          <w:p>
            <w:pPr>
              <w:pStyle w:val="Compact"/>
            </w:pPr>
            <w:r>
              <w:t xml:space="preserve">"Ask the supplier for their StateRAMP status." The program has operated under the new name since 2025-02-14 while the old one remains the legal entity name. A search on one name alone stops working.</w:t>
            </w:r>
          </w:p>
        </w:tc>
      </w:tr>
      <w:tr>
        <w:tc>
          <w:tcPr/>
          <w:p>
            <w:pPr>
              <w:pStyle w:val="Compact"/>
            </w:pPr>
            <w:r>
              <w:rPr>
                <w:b/>
                <w:bCs/>
              </w:rPr>
              <w:t xml:space="preserve">PCI DSS v4.0.1</w:t>
            </w:r>
          </w:p>
        </w:tc>
        <w:tc>
          <w:tcPr/>
          <w:p>
            <w:pPr>
              <w:pStyle w:val="Compact"/>
            </w:pPr>
            <w:r>
              <w:t xml:space="preserve">A report or a self-assessment questionnaire, plus a signed attestation. No certificate exists.</w:t>
            </w:r>
          </w:p>
        </w:tc>
        <w:tc>
          <w:tcPr/>
          <w:p>
            <w:pPr>
              <w:pStyle w:val="Compact"/>
            </w:pPr>
            <w:r>
              <w:t xml:space="preserve">An agreement with an acquirer or a brand, arriving through the payment chain rather than a regulator.</w:t>
            </w:r>
          </w:p>
        </w:tc>
        <w:tc>
          <w:tcPr/>
          <w:p>
            <w:pPr>
              <w:pStyle w:val="Compact"/>
            </w:pPr>
            <w:r>
              <w:t xml:space="preserve">v4.0.1 published 2024-06; v4.0 retired 2024-12-31; the future-dated requirements became mandatory 2025-03-31.</w:t>
            </w:r>
          </w:p>
        </w:tc>
        <w:tc>
          <w:tcPr/>
          <w:p>
            <w:pPr>
              <w:pStyle w:val="Compact"/>
            </w:pPr>
            <w:r>
              <w:t xml:space="preserve">"We are working toward 4.0, and the future-dated requirements are still future." v4.0 retired 2024-12-31, leaving v4.0.1, and the future-dated requirements became mandatory 2025-03-31. The body that writes the standard is not the body that sets your validation requirement.</w:t>
            </w:r>
          </w:p>
        </w:tc>
      </w:tr>
    </w:tbl>
    <w:p>
      <w:pPr>
        <w:pStyle w:val="BodyText"/>
      </w:pPr>
      <w:r>
        <w:rPr>
          <w:b/>
          <w:bCs/>
        </w:rPr>
        <w:t xml:space="preserve">The cloud programs assess a service offering you operate</w:t>
      </w:r>
      <w:r>
        <w:t xml:space="preserve">, which is why they sit here rather than</w:t>
      </w:r>
      <w:r>
        <w:t xml:space="preserve"> </w:t>
      </w:r>
      <w:r>
        <w:t xml:space="preserve">with the producer items even though a software company usually pays for them. One cloud program has</w:t>
      </w:r>
      <w:r>
        <w:t xml:space="preserve"> </w:t>
      </w:r>
      <w:r>
        <w:t xml:space="preserve">begun using an external framework for its lightest class only, and calls that class transitory:</w:t>
      </w:r>
      <w:r>
        <w:t xml:space="preserve"> </w:t>
      </w:r>
      <w:r>
        <w:t xml:space="preserve">narrow, and not a shortcut. A discrepancy between one cloud program's claim of recognition by another</w:t>
      </w:r>
      <w:r>
        <w:t xml:space="preserve"> </w:t>
      </w:r>
      <w:r>
        <w:t xml:space="preserve">and that other program's own published outcome is left open here rather than resolved -- read both</w:t>
      </w:r>
      <w:r>
        <w:t xml:space="preserve"> </w:t>
      </w:r>
      <w:r>
        <w:t xml:space="preserve">programs' own notices before repeating either claim.</w:t>
      </w:r>
    </w:p>
    <w:bookmarkEnd w:id="21"/>
    <w:bookmarkStart w:id="22" w:name="sector-and-jurisdiction-regimes"/>
    <w:p>
      <w:pPr>
        <w:pStyle w:val="Heading3"/>
      </w:pPr>
      <w:r>
        <w:t xml:space="preserve">Sector and jurisdiction regimes</w:t>
      </w:r>
    </w:p>
    <w:p>
      <w:pPr>
        <w:pStyle w:val="FirstParagraph"/>
      </w:pPr>
      <w:r>
        <w:t xml:space="preserve">Six regimes, presented as members of a set. None gets a worked example, and the operational</w:t>
      </w:r>
      <w:r>
        <w:t xml:space="preserve"> </w:t>
      </w:r>
      <w:r>
        <w:t xml:space="preserve">vocabulary of each is deliberately absent.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HIPAA Security Rule (45 CFR Part 164 Subpart C)</w:t>
            </w:r>
          </w:p>
        </w:tc>
        <w:tc>
          <w:tcPr/>
          <w:p>
            <w:pPr>
              <w:pStyle w:val="Compact"/>
            </w:pPr>
            <w:r>
              <w:t xml:space="preserve">Nothing. The enforcing agency has stated since 2003 that it recognizes no certification.</w:t>
            </w:r>
          </w:p>
        </w:tc>
        <w:tc>
          <w:tcPr/>
          <w:p>
            <w:pPr>
              <w:pStyle w:val="Compact"/>
            </w:pPr>
            <w:r>
              <w:t xml:space="preserve">Being a covered organization, or an agreement flowing the obligation down a contract chain.</w:t>
            </w:r>
          </w:p>
        </w:tc>
        <w:tc>
          <w:tcPr/>
          <w:p>
            <w:pPr>
              <w:pStyle w:val="Compact"/>
            </w:pPr>
            <w:r>
              <w:t xml:space="preserve">In force, operative text unchanged. A proposed overhaul published 2025-01-06 is not final; the projected final action has moved to July 2027, per secondary reporting.</w:t>
            </w:r>
          </w:p>
        </w:tc>
        <w:tc>
          <w:tcPr/>
          <w:p>
            <w:pPr>
              <w:pStyle w:val="Compact"/>
            </w:pPr>
            <w:r>
              <w:t xml:space="preserve">Suppliers are asked to produce a certificate against it. None exists, and the enforcing agency has said so for over twenty years. It also binds an organization, not a product.</w:t>
            </w:r>
          </w:p>
        </w:tc>
      </w:tr>
      <w:tr>
        <w:tc>
          <w:tcPr/>
          <w:p>
            <w:pPr>
              <w:pStyle w:val="Compact"/>
            </w:pPr>
            <w:r>
              <w:rPr>
                <w:b/>
                <w:bCs/>
              </w:rPr>
              <w:t xml:space="preserve">FTC Safeguards Rule under GLBA (16 CFR Part 314)</w:t>
            </w:r>
          </w:p>
        </w:tc>
        <w:tc>
          <w:tcPr/>
          <w:p>
            <w:pPr>
              <w:pStyle w:val="Compact"/>
            </w:pPr>
            <w:r>
              <w:t xml:space="preserve">Nothing. A written program, a named accountable individual, and a reporting duty.</w:t>
            </w:r>
          </w:p>
        </w:tc>
        <w:tc>
          <w:tcPr/>
          <w:p>
            <w:pPr>
              <w:pStyle w:val="Compact"/>
            </w:pPr>
            <w:r>
              <w:t xml:space="preserve">Meeting the rule's statutory definition of a covered institution, which is wider than self-image.</w:t>
            </w:r>
          </w:p>
        </w:tc>
        <w:tc>
          <w:tcPr/>
          <w:p>
            <w:pPr>
              <w:pStyle w:val="Compact"/>
            </w:pPr>
            <w:r>
              <w:t xml:space="preserve">Substantive requirements fully effective 2023-06-09. The breach-reporting amendment became effective 2024-05-13.</w:t>
            </w:r>
          </w:p>
        </w:tc>
        <w:tc>
          <w:tcPr/>
          <w:p>
            <w:pPr>
              <w:pStyle w:val="Compact"/>
            </w:pPr>
            <w:r>
              <w:t xml:space="preserve">Organizations that do not think of themselves as financial institutions assume it does not apply to them. The definition is statutory, not a matter of self-description.</w:t>
            </w:r>
          </w:p>
        </w:tc>
      </w:tr>
      <w:tr>
        <w:tc>
          <w:tcPr/>
          <w:p>
            <w:pPr>
              <w:pStyle w:val="Compact"/>
            </w:pPr>
            <w:r>
              <w:rPr>
                <w:b/>
                <w:bCs/>
              </w:rPr>
              <w:t xml:space="preserve">FERPA (20 U.S.C. 1232g; 34 CFR Part 99)</w:t>
            </w:r>
          </w:p>
        </w:tc>
        <w:tc>
          <w:tcPr/>
          <w:p>
            <w:pPr>
              <w:pStyle w:val="Compact"/>
            </w:pPr>
            <w:r>
              <w:t xml:space="preserve">Nothing. No certificate, no assessor, no registry. Enforcement runs through federal funding.</w:t>
            </w:r>
          </w:p>
        </w:tc>
        <w:tc>
          <w:tcPr/>
          <w:p>
            <w:pPr>
              <w:pStyle w:val="Compact"/>
            </w:pPr>
            <w:r>
              <w:t xml:space="preserve">Receiving the covered federal funds, or a contract with an institution that does.</w:t>
            </w:r>
          </w:p>
        </w:tc>
        <w:tc>
          <w:tcPr/>
          <w:p>
            <w:pPr>
              <w:pStyle w:val="Compact"/>
            </w:pPr>
            <w:r>
              <w:t xml:space="preserve">Statute in force since 1974; the regulations were substantially amended in 2008. No status change in the last 24 months.</w:t>
            </w:r>
          </w:p>
        </w:tc>
        <w:tc>
          <w:tcPr/>
          <w:p>
            <w:pPr>
              <w:pStyle w:val="Compact"/>
            </w:pPr>
            <w:r>
              <w:t xml:space="preserve">Sought as a compliance artifact. There is no assessor and no registry to be listed in.</w:t>
            </w:r>
          </w:p>
        </w:tc>
      </w:tr>
      <w:tr>
        <w:tc>
          <w:tcPr/>
          <w:p>
            <w:pPr>
              <w:pStyle w:val="Compact"/>
            </w:pPr>
            <w:r>
              <w:rPr>
                <w:b/>
                <w:bCs/>
              </w:rPr>
              <w:t xml:space="preserve">CJIS Security Policy</w:t>
            </w:r>
          </w:p>
        </w:tc>
        <w:tc>
          <w:tcPr/>
          <w:p>
            <w:pPr>
              <w:pStyle w:val="Compact"/>
            </w:pPr>
            <w:r>
              <w:t xml:space="preserve">No central certificate. An audit by the relevant authority, with the finding landing on the agency.</w:t>
            </w:r>
          </w:p>
        </w:tc>
        <w:tc>
          <w:tcPr/>
          <w:p>
            <w:pPr>
              <w:pStyle w:val="Compact"/>
            </w:pPr>
            <w:r>
              <w:t xml:space="preserve">An agreement giving access to the covered data. The policy names contractors within its own scope.</w:t>
            </w:r>
          </w:p>
        </w:tc>
        <w:tc>
          <w:tcPr/>
          <w:p>
            <w:pPr>
              <w:pStyle w:val="Compact"/>
            </w:pPr>
            <w:r>
              <w:t xml:space="preserve">v6.0 issued 2024-12-27, v6.1 dated 2026-06-25. Secondary reporting says audits continue against an earlier version; confirm with the auditing authority.</w:t>
            </w:r>
          </w:p>
        </w:tc>
        <w:tc>
          <w:tcPr/>
          <w:p>
            <w:pPr>
              <w:pStyle w:val="Compact"/>
            </w:pPr>
            <w:r>
              <w:t xml:space="preserve">A central certificate is assumed to exist, and the version being audited is assumed to be the newest published one. Confirm the audit baseline with the authority that will actually audit, on the date it will happen.</w:t>
            </w:r>
          </w:p>
        </w:tc>
      </w:tr>
      <w:tr>
        <w:tc>
          <w:tcPr/>
          <w:p>
            <w:pPr>
              <w:pStyle w:val="Compact"/>
            </w:pPr>
            <w:r>
              <w:rPr>
                <w:b/>
                <w:bCs/>
              </w:rPr>
              <w:t xml:space="preserve">NIS2 Directive ((EU) 2022/2555)</w:t>
            </w:r>
          </w:p>
        </w:tc>
        <w:tc>
          <w:tcPr/>
          <w:p>
            <w:pPr>
              <w:pStyle w:val="Compact"/>
            </w:pPr>
            <w:r>
              <w:t xml:space="preserve">Nothing at EU level. Obligations, deadlines and penalties come from a member state's transposing law.</w:t>
            </w:r>
          </w:p>
        </w:tc>
        <w:tc>
          <w:tcPr/>
          <w:p>
            <w:pPr>
              <w:pStyle w:val="Compact"/>
            </w:pPr>
            <w:r>
              <w:t xml:space="preserve">Sector plus size thresholds under national law, which has to be tested per member state.</w:t>
            </w:r>
          </w:p>
        </w:tc>
        <w:tc>
          <w:tcPr/>
          <w:p>
            <w:pPr>
              <w:pStyle w:val="Compact"/>
            </w:pPr>
            <w:r>
              <w:t xml:space="preserve">Transposition was due 2024-10-17 and remains incomplete. The Commission referred four member states to the Court of Justice in 2026.</w:t>
            </w:r>
          </w:p>
        </w:tc>
        <w:tc>
          <w:tcPr/>
          <w:p>
            <w:pPr>
              <w:pStyle w:val="Compact"/>
            </w:pPr>
            <w:r>
              <w:t xml:space="preserve">Read as a single EU-wide obligation with one set of thresholds. It is national law that binds, and transposition is incomplete, so the answer differs by member state and in some cases does not exist yet.</w:t>
            </w:r>
          </w:p>
        </w:tc>
      </w:tr>
      <w:tr>
        <w:tc>
          <w:tcPr/>
          <w:p>
            <w:pPr>
              <w:pStyle w:val="Compact"/>
            </w:pPr>
            <w:r>
              <w:rPr>
                <w:b/>
                <w:bCs/>
              </w:rPr>
              <w:t xml:space="preserve">SEC cybersecurity disclosure rules (17 CFR Parts 229, 232, 239, 240, 249)</w:t>
            </w:r>
          </w:p>
        </w:tc>
        <w:tc>
          <w:tcPr/>
          <w:p>
            <w:pPr>
              <w:pStyle w:val="Compact"/>
            </w:pPr>
            <w:r>
              <w:t xml:space="preserve">Nothing. The output is a filing. No assessor and no examination.</w:t>
            </w:r>
          </w:p>
        </w:tc>
        <w:tc>
          <w:tcPr/>
          <w:p>
            <w:pPr>
              <w:pStyle w:val="Compact"/>
            </w:pPr>
            <w:r>
              <w:t xml:space="preserve">Being a registrant of the relevant class. Nothing about your stack changes the answer.</w:t>
            </w:r>
          </w:p>
        </w:tc>
        <w:tc>
          <w:tcPr/>
          <w:p>
            <w:pPr>
              <w:pStyle w:val="Compact"/>
            </w:pPr>
            <w:r>
              <w:t xml:space="preserve">Adopted 2023-07-26, effective 2023-09-05. A rescission petition was filed 2025-05-22; no adopting release was found as of the check date.</w:t>
            </w:r>
          </w:p>
        </w:tc>
        <w:tc>
          <w:tcPr/>
          <w:p>
            <w:pPr>
              <w:pStyle w:val="Compact"/>
            </w:pPr>
            <w:r>
              <w:t xml:space="preserve">Treated as a security control requirement that engineering choices can satisfy or avoid. It is a disclosure duty attached to registrant status. Nothing asked here establishes that status, so this is a fact about your organization to go and check, never an inference drawn from your answers.</w:t>
            </w:r>
          </w:p>
        </w:tc>
      </w:tr>
    </w:tbl>
    <w:p>
      <w:pPr>
        <w:pStyle w:val="BodyText"/>
      </w:pPr>
      <w:r>
        <w:rPr>
          <w:b/>
          <w:bCs/>
        </w:rPr>
        <w:t xml:space="preserve">A resource guide to a rule is not the rule.</w:t>
      </w:r>
      <w:r>
        <w:t xml:space="preserve"> </w:t>
      </w:r>
      <w:r>
        <w:t xml:space="preserve">Several of the regimes above have a publisher's</w:t>
      </w:r>
      <w:r>
        <w:t xml:space="preserve"> </w:t>
      </w:r>
      <w:r>
        <w:t xml:space="preserve">implementation guide sitting beside them, and the two get cited identically. A guide states no</w:t>
      </w:r>
      <w:r>
        <w:t xml:space="preserve"> </w:t>
      </w:r>
      <w:r>
        <w:t xml:space="preserve">requirement and issues nothing, so conformance to one is not a thing that exists, and a questionnaire</w:t>
      </w:r>
      <w:r>
        <w:t xml:space="preserve"> </w:t>
      </w:r>
      <w:r>
        <w:t xml:space="preserve">asking a supplier to attest to a guide is asking for something no party can supply.</w:t>
      </w:r>
    </w:p>
    <w:bookmarkEnd w:id="22"/>
    <w:bookmarkStart w:id="24" w:name="control-catalogs-and-operational-inputs"/>
    <w:p>
      <w:pPr>
        <w:pStyle w:val="Heading3"/>
      </w:pPr>
      <w:r>
        <w:t xml:space="preserve">Control catalogs and operational inputs</w:t>
      </w:r>
    </w:p>
    <w:p>
      <w:pPr>
        <w:pStyle w:val="FirstParagraph"/>
      </w:pPr>
      <w:r>
        <w:t xml:space="preserve">The chain worth carrying, because it tells you which document a question belongs to: FIPS 199</w:t>
      </w:r>
      <w:r>
        <w:t xml:space="preserve"> </w:t>
      </w:r>
      <w:r>
        <w:t xml:space="preserve">categorizes, SP 800-60 Rev. 1 guides the categorizing, FIPS 200 sets a floor, SP 800-53B selects a</w:t>
      </w:r>
      <w:r>
        <w:t xml:space="preserve"> </w:t>
      </w:r>
      <w:r>
        <w:t xml:space="preserve">baseline, SP 800-53 supplies the control text, and SP 800-53A assesses it. SP 800-122 sits to the</w:t>
      </w:r>
      <w:r>
        <w:t xml:space="preserve"> </w:t>
      </w:r>
      <w:r>
        <w:t xml:space="preserve">side, covering personally identifiable information (PII). Most questions arrive attached to the</w:t>
      </w:r>
      <w:r>
        <w:t xml:space="preserve"> </w:t>
      </w:r>
      <w:r>
        <w:t xml:space="preserve">wrong link.</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NIST SP 800-53 Rev. 5 (Release 5.2.0), with SP 800-53B and FIPS 199</w:t>
            </w:r>
          </w:p>
        </w:tc>
        <w:tc>
          <w:tcPr/>
          <w:p>
            <w:pPr>
              <w:pStyle w:val="Compact"/>
            </w:pPr>
            <w:r>
              <w:t xml:space="preserve">Nothing. A baseline is selected and an authorizing official decides. NIST certifies nobody.</w:t>
            </w:r>
          </w:p>
        </w:tc>
        <w:tc>
          <w:tcPr/>
          <w:p>
            <w:pPr>
              <w:pStyle w:val="Compact"/>
            </w:pPr>
            <w:r>
              <w:t xml:space="preserve">A federal contract, a program requirement, or a customer questionnaire mapping its control set onto you.</w:t>
            </w:r>
          </w:p>
        </w:tc>
        <w:tc>
          <w:tcPr/>
          <w:p>
            <w:pPr>
              <w:pStyle w:val="Compact"/>
            </w:pPr>
            <w:r>
              <w:t xml:space="preserve">Release 5.2.0 issued 2025-08-27 and added three controls; the baselines were not changed. FIPS 199 unchanged since February 2004.</w:t>
            </w:r>
          </w:p>
        </w:tc>
        <w:tc>
          <w:tcPr/>
          <w:p>
            <w:pPr>
              <w:pStyle w:val="Compact"/>
            </w:pPr>
            <w:r>
              <w:t xml:space="preserve">Questions arrive attached to the wrong link in the chain. The chain worth carrying: FIPS 199 categorizes, SP 800-60 Rev. 1 guides the categorizing, FIPS 200 sets a floor, SP 800-53B selects a baseline, SP 800-53 supplies the control text, and SP 800-53A assesses it. A release is also not a revision.</w:t>
            </w:r>
          </w:p>
        </w:tc>
      </w:tr>
      <w:tr>
        <w:tc>
          <w:tcPr/>
          <w:p>
            <w:pPr>
              <w:pStyle w:val="Compact"/>
            </w:pPr>
            <w:r>
              <w:rPr>
                <w:b/>
                <w:bCs/>
              </w:rPr>
              <w:t xml:space="preserve">NIST SP 800-161 Rev. 1 (upd 1)</w:t>
            </w:r>
          </w:p>
        </w:tc>
        <w:tc>
          <w:tcPr/>
          <w:p>
            <w:pPr>
              <w:pStyle w:val="Compact"/>
            </w:pPr>
            <w:r>
              <w:t xml:space="preserve">Nothing. Guidance, structured as an overlay on the control catalog.</w:t>
            </w:r>
          </w:p>
        </w:tc>
        <w:tc>
          <w:tcPr/>
          <w:p>
            <w:pPr>
              <w:pStyle w:val="Compact"/>
            </w:pPr>
            <w:r>
              <w:t xml:space="preserve">A federal contract flow-down, or a prime pushing supply chain terms down.</w:t>
            </w:r>
          </w:p>
        </w:tc>
        <w:tc>
          <w:tcPr/>
          <w:p>
            <w:pPr>
              <w:pStyle w:val="Compact"/>
            </w:pPr>
            <w:r>
              <w:t xml:space="preserve">Revision 1 published May 2022; update 1 issued 2024-11-01. No Revision 2 exists in any form, draft or final.</w:t>
            </w:r>
          </w:p>
        </w:tc>
        <w:tc>
          <w:tcPr/>
          <w:p>
            <w:pPr>
              <w:pStyle w:val="Compact"/>
            </w:pPr>
            <w:r>
              <w:t xml:space="preserve">"Revision 2 is out." There is no Revision 2. The 2024-11-01 date people cite is an update to Revision 1, and the publication's own record page shows status and date.</w:t>
            </w:r>
          </w:p>
        </w:tc>
      </w:tr>
      <w:tr>
        <w:tc>
          <w:tcPr/>
          <w:p>
            <w:pPr>
              <w:pStyle w:val="Compact"/>
            </w:pPr>
            <w:r>
              <w:rPr>
                <w:b/>
                <w:bCs/>
              </w:rPr>
              <w:t xml:space="preserve">The US defense CUI chain: SP 800-171 as pinned by contract, the CMMC program, the DFARS clauses</w:t>
            </w:r>
          </w:p>
        </w:tc>
        <w:tc>
          <w:tcPr/>
          <w:p>
            <w:pPr>
              <w:pStyle w:val="Compact"/>
            </w:pPr>
            <w:r>
              <w:t xml:space="preserve">Depends on the rung: a self-scored assessment, an annual affirmation, a third-party certificate, or a government assessment result.</w:t>
            </w:r>
          </w:p>
        </w:tc>
        <w:tc>
          <w:tcPr/>
          <w:p>
            <w:pPr>
              <w:pStyle w:val="Compact"/>
            </w:pPr>
            <w:r>
              <w:t xml:space="preserve">A contracting officer inserting a clause, or a prime flowing it down. Nothing here arrives on its own.</w:t>
            </w:r>
          </w:p>
        </w:tc>
        <w:tc>
          <w:tcPr/>
          <w:p>
            <w:pPr>
              <w:pStyle w:val="Compact"/>
            </w:pPr>
            <w:r>
              <w:t xml:space="preserve">Program rule effective 2024-12-16; acquisition rule effective 2025-11-10; phases beyond the first suspended by policy on 2026-07-13, per secondary reporting.</w:t>
            </w:r>
          </w:p>
        </w:tc>
        <w:tc>
          <w:tcPr/>
          <w:p>
            <w:pPr>
              <w:pStyle w:val="Compact"/>
            </w:pPr>
            <w:r>
              <w:t xml:space="preserve">Two of them. "Defense work has to move to Revision 3": a class deviation issued 2024-05-02 pins the safeguarding clause to Revision 2 and stands until rescinded, per secondary reporting, so the clause text alone gives the wrong revision. And "third-party certification becomes a condition of award in November 2026": Phase 2 and later milestones were suspended by policy on 2026-07-13, per secondary reporting, and neither rule was amended or repealed. Ask the contracting officer which level the solicitation requires, and check the rulemaking index.</w:t>
            </w:r>
          </w:p>
        </w:tc>
      </w:tr>
      <w:tr>
        <w:tc>
          <w:tcPr/>
          <w:p>
            <w:pPr>
              <w:pStyle w:val="Compact"/>
            </w:pPr>
            <w:r>
              <w:rPr>
                <w:b/>
                <w:bCs/>
              </w:rPr>
              <w:t xml:space="preserve">CISA Known Exploited Vulnerabilities catalog, and BOD 26-04</w:t>
            </w:r>
          </w:p>
        </w:tc>
        <w:tc>
          <w:tcPr/>
          <w:p>
            <w:pPr>
              <w:pStyle w:val="Compact"/>
            </w:pPr>
            <w:r>
              <w:t xml:space="preserve">Nothing to a private organization. A directive binds only the agencies it names.</w:t>
            </w:r>
          </w:p>
        </w:tc>
        <w:tc>
          <w:tcPr/>
          <w:p>
            <w:pPr>
              <w:pStyle w:val="Compact"/>
            </w:pPr>
            <w:r>
              <w:t xml:space="preserve">Being an agency a directive names, a contract flowing it down, or your own policy adopting the catalog.</w:t>
            </w:r>
          </w:p>
        </w:tc>
        <w:tc>
          <w:tcPr/>
          <w:p>
            <w:pPr>
              <w:pStyle w:val="Compact"/>
            </w:pPr>
            <w:r>
              <w:t xml:space="preserve">BOD 26-04, issued 2026-06-10, supersedes and revokes the 2021 and 2019 directives. The catalog itself is unchanged.</w:t>
            </w:r>
          </w:p>
        </w:tc>
        <w:tc>
          <w:tcPr/>
          <w:p>
            <w:pPr>
              <w:pStyle w:val="Compact"/>
            </w:pPr>
            <w:r>
              <w:t xml:space="preserve">"Catalog inclusion means a fixed federal patch deadline." The directive setting flat due dates was revoked on 2026-06-10 and replaced by a risk model. The catalog is unchanged, and the revoked directive's own page is titled as revoked.</w:t>
            </w:r>
          </w:p>
        </w:tc>
      </w:tr>
      <w:tr>
        <w:tc>
          <w:tcPr/>
          <w:p>
            <w:pPr>
              <w:pStyle w:val="Compact"/>
            </w:pPr>
            <w:r>
              <w:rPr>
                <w:b/>
                <w:bCs/>
              </w:rPr>
              <w:t xml:space="preserve">EPSS</w:t>
            </w:r>
          </w:p>
        </w:tc>
        <w:tc>
          <w:tcPr/>
          <w:p>
            <w:pPr>
              <w:pStyle w:val="Compact"/>
            </w:pPr>
            <w:r>
              <w:t xml:space="preserve">A daily probability and percentile per published CVE, for exploitation in the wild within thirty days.</w:t>
            </w:r>
          </w:p>
        </w:tc>
        <w:tc>
          <w:tcPr/>
          <w:p>
            <w:pPr>
              <w:pStyle w:val="Compact"/>
            </w:pPr>
            <w:r>
              <w:t xml:space="preserve">A remediation policy that consumes it, or a risk model using exploitation likelihood as an input.</w:t>
            </w:r>
          </w:p>
        </w:tc>
        <w:tc>
          <w:tcPr/>
          <w:p>
            <w:pPr>
              <w:pStyle w:val="Compact"/>
            </w:pPr>
            <w:r>
              <w:t xml:space="preserve">Version 4 deployed 2025-03-17; a version 5 was announced 2026-05-13. Which model generates the published scores was not confirmed.</w:t>
            </w:r>
          </w:p>
        </w:tc>
        <w:tc>
          <w:tcPr/>
          <w:p>
            <w:pPr>
              <w:pStyle w:val="Compact"/>
            </w:pPr>
            <w:r>
              <w:t xml:space="preserve">Read as a verdict rather than as data. Which model version is actually generating the published scores is not confirmed here -- read the comment line in the published data file, not a blog post.</w:t>
            </w:r>
          </w:p>
        </w:tc>
      </w:tr>
      <w:tr>
        <w:tc>
          <w:tcPr/>
          <w:p>
            <w:pPr>
              <w:pStyle w:val="Compact"/>
            </w:pPr>
            <w:r>
              <w:rPr>
                <w:b/>
                <w:bCs/>
              </w:rPr>
              <w:t xml:space="preserve">OWASP SAMM v2.0</w:t>
            </w:r>
          </w:p>
        </w:tc>
        <w:tc>
          <w:tcPr/>
          <w:p>
            <w:pPr>
              <w:pStyle w:val="Compact"/>
            </w:pPr>
            <w:r>
              <w:t xml:space="preserve">Nothing. A self-assessed score from 0 to 3 per practice, plus a community Benchmark for comparison.</w:t>
            </w:r>
          </w:p>
        </w:tc>
        <w:tc>
          <w:tcPr/>
          <w:p>
            <w:pPr>
              <w:pStyle w:val="Compact"/>
            </w:pPr>
            <w:r>
              <w:t xml:space="preserve">Internal program work, board reporting, or a customer asking how mature your program is.</w:t>
            </w:r>
          </w:p>
        </w:tc>
        <w:tc>
          <w:tcPr/>
          <w:p>
            <w:pPr>
              <w:pStyle w:val="Compact"/>
            </w:pPr>
            <w:r>
              <w:t xml:space="preserve">Released February 2020 and still current on the check date. The Benchmark was first published June 2024.</w:t>
            </w:r>
          </w:p>
        </w:tc>
        <w:tc>
          <w:tcPr/>
          <w:p>
            <w:pPr>
              <w:pStyle w:val="Compact"/>
            </w:pPr>
            <w:r>
              <w:t xml:space="preserve">A self-assessed score is offered as though it were an independent finding.</w:t>
            </w:r>
          </w:p>
        </w:tc>
      </w:tr>
      <w:tr>
        <w:tc>
          <w:tcPr/>
          <w:p>
            <w:pPr>
              <w:pStyle w:val="Compact"/>
            </w:pPr>
            <w:r>
              <w:rPr>
                <w:b/>
                <w:bCs/>
              </w:rPr>
              <w:t xml:space="preserve">NIST SP 800-122</w:t>
            </w:r>
          </w:p>
        </w:tc>
        <w:tc>
          <w:tcPr/>
          <w:p>
            <w:pPr>
              <w:pStyle w:val="Compact"/>
            </w:pPr>
            <w:r>
              <w:t xml:space="preserve">Nothing. Guidance.</w:t>
            </w:r>
          </w:p>
        </w:tc>
        <w:tc>
          <w:tcPr/>
          <w:p>
            <w:pPr>
              <w:pStyle w:val="Compact"/>
            </w:pPr>
            <w:r>
              <w:t xml:space="preserve">No independent trigger. It sits beside the federal control chain, covering personally identifiable information (PII).</w:t>
            </w:r>
          </w:p>
        </w:tc>
        <w:tc>
          <w:tcPr/>
          <w:p>
            <w:pPr>
              <w:pStyle w:val="Compact"/>
            </w:pPr>
            <w:r>
              <w:t xml:space="preserve">Still Final. Its withdrawal exists only as intent inside an unfinished working draft.</w:t>
            </w:r>
          </w:p>
        </w:tc>
        <w:tc>
          <w:tcPr/>
          <w:p>
            <w:pPr>
              <w:pStyle w:val="Compact"/>
            </w:pPr>
            <w:r>
              <w:t xml:space="preserve">"SP 800-122 was withdrawn." It is still Final, and the publication's own record page shows status and date.</w:t>
            </w:r>
          </w:p>
        </w:tc>
      </w:tr>
      <w:tr>
        <w:tc>
          <w:tcPr/>
          <w:p>
            <w:pPr>
              <w:pStyle w:val="Compact"/>
            </w:pPr>
            <w:r>
              <w:rPr>
                <w:b/>
                <w:bCs/>
              </w:rPr>
              <w:t xml:space="preserve">NIST control overlays for securing AI systems</w:t>
            </w:r>
          </w:p>
        </w:tc>
        <w:tc>
          <w:tcPr/>
          <w:p>
            <w:pPr>
              <w:pStyle w:val="Compact"/>
            </w:pPr>
            <w:r>
              <w:t xml:space="preserve">Nothing today.</w:t>
            </w:r>
          </w:p>
        </w:tc>
        <w:tc>
          <w:tcPr/>
          <w:p>
            <w:pPr>
              <w:pStyle w:val="Compact"/>
            </w:pPr>
            <w:r>
              <w:t xml:space="preserve">Nothing today.</w:t>
            </w:r>
          </w:p>
        </w:tc>
        <w:tc>
          <w:tcPr/>
          <w:p>
            <w:pPr>
              <w:pStyle w:val="Compact"/>
            </w:pPr>
            <w:r>
              <w:t xml:space="preserve">In development, with no draft overlay published as of the check date, so nothing can be aligned with them today.</w:t>
            </w:r>
          </w:p>
        </w:tc>
        <w:tc>
          <w:tcPr/>
          <w:p>
            <w:pPr>
              <w:pStyle w:val="Compact"/>
            </w:pPr>
            <w:r>
              <w:t xml:space="preserve">Cited in roadmaps as though alignment were possible now. No draft exists to align with.</w:t>
            </w:r>
          </w:p>
        </w:tc>
      </w:tr>
    </w:tbl>
    <w:p>
      <w:pPr>
        <w:pStyle w:val="BodyText"/>
      </w:pPr>
      <w:r>
        <w:rPr>
          <w:b/>
          <w:bCs/>
        </w:rPr>
        <w:t xml:space="preserve">A defense-style obligation begins with a clause number, not a publication.</w:t>
      </w:r>
      <w:r>
        <w:t xml:space="preserve"> </w:t>
      </w:r>
      <w:r>
        <w:t xml:space="preserve">Ask which</w:t>
      </w:r>
      <w:r>
        <w:t xml:space="preserve"> </w:t>
      </w:r>
      <w:r>
        <w:t xml:space="preserve">solicitation, which contract and which clause number, and check whether a deviation modifies the</w:t>
      </w:r>
      <w:r>
        <w:t xml:space="preserve"> </w:t>
      </w:r>
      <w:r>
        <w:t xml:space="preserve">clause -- the clause text alone can name the wrong revision. The route it arrives by, and who</w:t>
      </w:r>
      <w:r>
        <w:t xml:space="preserve"> </w:t>
      </w:r>
      <w:r>
        <w:t xml:space="preserve">therefore owns the response, is in</w:t>
      </w:r>
      <w:r>
        <w:t xml:space="preserve"> </w:t>
      </w:r>
      <w:hyperlink w:anchor="how-these-actually-arrive">
        <w:r>
          <w:rPr>
            <w:rStyle w:val="Hyperlink"/>
          </w:rPr>
          <w:t xml:space="preserve">how these actually arrive</w:t>
        </w:r>
      </w:hyperlink>
      <w:r>
        <w:t xml:space="preserve"> </w:t>
      </w:r>
      <w:r>
        <w:t xml:space="preserve">below.</w:t>
      </w:r>
      <w:r>
        <w:t xml:space="preserve"> </w:t>
      </w:r>
      <w:r>
        <w:t xml:space="preserve">The release-versus-revision trap in the control catalog, with the producer-versus-operator</w:t>
      </w:r>
      <w:r>
        <w:t xml:space="preserve"> </w:t>
      </w:r>
      <w:r>
        <w:t xml:space="preserve">split that decides who owns a control at all, sits in</w:t>
      </w:r>
      <w:r>
        <w:t xml:space="preserve"> </w:t>
      </w:r>
      <w:hyperlink r:id="rId23">
        <w:r>
          <w:rPr>
            <w:rStyle w:val="Hyperlink"/>
          </w:rPr>
          <w:t xml:space="preserve">Secure development</w:t>
        </w:r>
      </w:hyperlink>
      <w:r>
        <w:t xml:space="preserve"> </w:t>
      </w:r>
      <w:r>
        <w:t xml:space="preserve">rather than here.</w:t>
      </w:r>
    </w:p>
    <w:p>
      <w:r>
        <w:pict>
          <v:rect style="width:0;height:1.5pt" o:hralign="center" o:hrstd="t" o:hr="t"/>
        </w:pict>
      </w:r>
    </w:p>
    <w:bookmarkEnd w:id="24"/>
    <w:bookmarkEnd w:id="25"/>
    <w:bookmarkStart w:id="26" w:name="makes-demands-of-an-assessor"/>
    <w:p>
      <w:pPr>
        <w:pStyle w:val="Heading2"/>
      </w:pPr>
      <w:r>
        <w:t xml:space="preserve">Makes demands of an assessor</w:t>
      </w:r>
    </w:p>
    <w:p>
      <w:pPr>
        <w:pStyle w:val="FirstParagraph"/>
      </w:pPr>
      <w:r>
        <w:t xml:space="preserve">Three rows and one lesson:</w:t>
      </w:r>
      <w:r>
        <w:t xml:space="preserve"> </w:t>
      </w:r>
      <w:r>
        <w:rPr>
          <w:b/>
          <w:bCs/>
        </w:rPr>
        <w:t xml:space="preserve">these change what an audit looks like and impose nothing on the audited</w:t>
      </w:r>
      <w:r>
        <w:rPr>
          <w:b/>
          <w:bCs/>
        </w:rPr>
        <w:t xml:space="preserve"> </w:t>
      </w:r>
      <w:r>
        <w:rPr>
          <w:b/>
          <w:bCs/>
        </w:rPr>
        <w:t xml:space="preserve">organization.</w:t>
      </w:r>
      <w:r>
        <w:t xml:space="preserve"> </w:t>
      </w:r>
      <w:r>
        <w:t xml:space="preserve">An unexplained change in audit shape or duration usually starts here rather than in</w:t>
      </w:r>
      <w:r>
        <w:t xml:space="preserve"> </w:t>
      </w:r>
      <w:r>
        <w:t xml:space="preserve">your auditor's temperament. Reading them as requirements on yourself manufactures controls nothing</w:t>
      </w:r>
      <w:r>
        <w:t xml:space="preserve"> </w:t>
      </w:r>
      <w:r>
        <w:t xml:space="preserve">ever asked for.</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ISO/IEC 27006-1:2024</w:t>
            </w:r>
          </w:p>
        </w:tc>
        <w:tc>
          <w:tcPr/>
          <w:p>
            <w:pPr>
              <w:pStyle w:val="Compact"/>
            </w:pPr>
            <w:r>
              <w:t xml:space="preserve">Nothing to the audited organization. It governs the auditor.</w:t>
            </w:r>
          </w:p>
        </w:tc>
        <w:tc>
          <w:tcPr/>
          <w:p>
            <w:pPr>
              <w:pStyle w:val="Compact"/>
            </w:pPr>
            <w:r>
              <w:t xml:space="preserve">It affects you through changed audit conduct: refined remote-audit rules and a revised audit-time calculation.</w:t>
            </w:r>
          </w:p>
        </w:tc>
        <w:tc>
          <w:tcPr/>
          <w:p>
            <w:pPr>
              <w:pStyle w:val="Compact"/>
            </w:pPr>
            <w:r>
              <w:t xml:space="preserve">Published 2024, replacing the 2015 edition. One accreditation body required use for all clients by 2026-03-31; other bodies may differ. Ask your own certification body which date applies to it.</w:t>
            </w:r>
          </w:p>
        </w:tc>
        <w:tc>
          <w:tcPr/>
          <w:p>
            <w:pPr>
              <w:pStyle w:val="Compact"/>
            </w:pPr>
            <w:r>
              <w:t xml:space="preserve">Read as a requirement on yourself, which manufactures controls the standard never asked for. An unexplained change in audit shape or duration usually starts here rather than in your auditor's temperament.</w:t>
            </w:r>
          </w:p>
        </w:tc>
      </w:tr>
      <w:tr>
        <w:tc>
          <w:tcPr/>
          <w:p>
            <w:pPr>
              <w:pStyle w:val="Compact"/>
            </w:pPr>
            <w:r>
              <w:rPr>
                <w:b/>
                <w:bCs/>
              </w:rPr>
              <w:t xml:space="preserve">NIST SP 800-53A Rev. 5 (Release 5.2.0)</w:t>
            </w:r>
          </w:p>
        </w:tc>
        <w:tc>
          <w:tcPr/>
          <w:p>
            <w:pPr>
              <w:pStyle w:val="Compact"/>
            </w:pPr>
            <w:r>
              <w:t xml:space="preserve">Nothing to the audited organization.</w:t>
            </w:r>
          </w:p>
        </w:tc>
        <w:tc>
          <w:tcPr/>
          <w:p>
            <w:pPr>
              <w:pStyle w:val="Compact"/>
            </w:pPr>
            <w:r>
              <w:t xml:space="preserve">It affects you as the source of the questions an assessor asks about a deployed instance.</w:t>
            </w:r>
          </w:p>
        </w:tc>
        <w:tc>
          <w:tcPr/>
          <w:p>
            <w:pPr>
              <w:pStyle w:val="Compact"/>
            </w:pPr>
            <w:r>
              <w:t xml:space="preserve">Release 5.2.0 issued 2025-08-27, adding assessment procedures for three controls.</w:t>
            </w:r>
          </w:p>
        </w:tc>
        <w:tc>
          <w:tcPr/>
          <w:p>
            <w:pPr>
              <w:pStyle w:val="Compact"/>
            </w:pPr>
            <w:r>
              <w:t xml:space="preserve">"Makes demands of an assessor" does not mean "what an auditor will ask you for". It tells someone how to conduct an examination. Building to it produces controls nothing ever required.</w:t>
            </w:r>
          </w:p>
        </w:tc>
      </w:tr>
      <w:tr>
        <w:tc>
          <w:tcPr/>
          <w:p>
            <w:pPr>
              <w:pStyle w:val="Compact"/>
            </w:pPr>
            <w:r>
              <w:rPr>
                <w:b/>
                <w:bCs/>
              </w:rPr>
              <w:t xml:space="preserve">NIST SP 800-171A Rev. 3 and SP 800-172A Rev. 3</w:t>
            </w:r>
          </w:p>
        </w:tc>
        <w:tc>
          <w:tcPr/>
          <w:p>
            <w:pPr>
              <w:pStyle w:val="Compact"/>
            </w:pPr>
            <w:r>
              <w:t xml:space="preserve">Nothing to the audited organization. A CUI assessment run to these procedures carries findings only, and there is no pass mark.</w:t>
            </w:r>
          </w:p>
        </w:tc>
        <w:tc>
          <w:tcPr/>
          <w:p>
            <w:pPr>
              <w:pStyle w:val="Compact"/>
            </w:pPr>
            <w:r>
              <w:t xml:space="preserve">An assessment somebody else scopes and runs.</w:t>
            </w:r>
          </w:p>
        </w:tc>
        <w:tc>
          <w:tcPr/>
          <w:p>
            <w:pPr>
              <w:pStyle w:val="Compact"/>
            </w:pPr>
            <w:r>
              <w:t xml:space="preserve">800-171A Rev. 3 final 2024-05-14; 800-172A Rev. 3 final 2026-05-13. The defense program rule still names the June 2018 and March 2022 versions.</w:t>
            </w:r>
          </w:p>
        </w:tc>
        <w:tc>
          <w:tcPr/>
          <w:p>
            <w:pPr>
              <w:pStyle w:val="Compact"/>
            </w:pPr>
            <w:r>
              <w:t xml:space="preserve">The newest published procedure is assumed to be the one being assessed against. The program rule still names earlier versions.</w:t>
            </w:r>
          </w:p>
        </w:tc>
      </w:tr>
    </w:tbl>
    <w:p>
      <w:r>
        <w:pict>
          <v:rect style="width:0;height:1.5pt" o:hralign="center" o:hrstd="t" o:hr="t"/>
        </w:pict>
      </w:r>
    </w:p>
    <w:bookmarkEnd w:id="26"/>
    <w:bookmarkStart w:id="28" w:name="input-you-use-not-a-rule-you-meet"/>
    <w:p>
      <w:pPr>
        <w:pStyle w:val="Heading2"/>
      </w:pPr>
      <w:r>
        <w:t xml:space="preserve">Input you use, not a rule you meet</w:t>
      </w:r>
    </w:p>
    <w:p>
      <w:pPr>
        <w:pStyle w:val="FirstParagraph"/>
      </w:pPr>
      <w:r>
        <w:t xml:space="preserve">You cannot conform to any of these, and knowing that ends several arguments. It does not mean skip</w:t>
      </w:r>
      <w:r>
        <w:t xml:space="preserve"> </w:t>
      </w:r>
      <w:r>
        <w:t xml:space="preserve">them: a software producer uses every one. A dependency policy is written in vulnerability</w:t>
      </w:r>
      <w:r>
        <w:t xml:space="preserve"> </w:t>
      </w:r>
      <w:r>
        <w:t xml:space="preserve">identifiers, a scanner reports in weakness identifiers, an SBOM is emitted in one of two formats,</w:t>
      </w:r>
      <w:r>
        <w:t xml:space="preserve"> </w:t>
      </w:r>
      <w:r>
        <w:t xml:space="preserve">and a requirements document borrows the quality vocabulary. What can put you under an obligation is</w:t>
      </w:r>
      <w:r>
        <w:t xml:space="preserve"> </w:t>
      </w:r>
      <w:r>
        <w:t xml:space="preserve">the policy, the contract or the vulnerability management program that quotes one of these, never the</w:t>
      </w:r>
      <w:r>
        <w:t xml:space="preserve"> </w:t>
      </w:r>
      <w:r>
        <w:t xml:space="preserve">document itself -- so use them, and look elsewhere for the demand.</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What it is</w:t>
            </w:r>
          </w:p>
        </w:tc>
        <w:tc>
          <w:tcPr/>
          <w:p>
            <w:pPr>
              <w:pStyle w:val="Compact"/>
            </w:pPr>
            <w:r>
              <w:t xml:space="preserve">What it issues</w:t>
            </w:r>
          </w:p>
        </w:tc>
        <w:tc>
          <w:tcPr/>
          <w:p>
            <w:pPr>
              <w:pStyle w:val="Compact"/>
            </w:pPr>
            <w:r>
              <w:t xml:space="preserve">What triggers it</w:t>
            </w:r>
          </w:p>
        </w:tc>
        <w:tc>
          <w:tcPr/>
          <w:p>
            <w:pPr>
              <w:pStyle w:val="Compact"/>
            </w:pPr>
            <w:r>
              <w:t xml:space="preserve">Status (checked 2026-08-06)</w:t>
            </w:r>
          </w:p>
        </w:tc>
        <w:tc>
          <w:tcPr/>
          <w:p>
            <w:pPr>
              <w:pStyle w:val="Compact"/>
            </w:pPr>
            <w:r>
              <w:t xml:space="preserve">The check you can run yourself</w:t>
            </w:r>
          </w:p>
        </w:tc>
      </w:tr>
      <w:tr>
        <w:tc>
          <w:tcPr/>
          <w:p>
            <w:pPr>
              <w:pStyle w:val="Compact"/>
            </w:pPr>
            <w:r>
              <w:rPr>
                <w:b/>
                <w:bCs/>
              </w:rPr>
              <w:t xml:space="preserve">CWE 4.20</w:t>
            </w:r>
          </w:p>
        </w:tc>
        <w:tc>
          <w:tcPr/>
          <w:p>
            <w:pPr>
              <w:pStyle w:val="Compact"/>
            </w:pPr>
            <w:r>
              <w:t xml:space="preserve">An identifier for a class of mistake. Not a severity and not a priority.</w:t>
            </w:r>
          </w:p>
        </w:tc>
        <w:tc>
          <w:tcPr/>
          <w:p>
            <w:pPr>
              <w:pStyle w:val="Compact"/>
            </w:pPr>
            <w:r>
              <w:t xml:space="preserve">Tool output, vulnerability records that map to it, and contracts asking for findings with mappings.</w:t>
            </w:r>
          </w:p>
        </w:tc>
        <w:tc>
          <w:tcPr/>
          <w:p>
            <w:pPr>
              <w:pStyle w:val="Compact"/>
            </w:pPr>
            <w:r>
              <w:t xml:space="preserve">Version 4.20 released 2026-04-30, on a continuing versioned release cadence.</w:t>
            </w:r>
          </w:p>
        </w:tc>
        <w:tc>
          <w:tcPr/>
          <w:p>
            <w:pPr>
              <w:pStyle w:val="Compact"/>
            </w:pPr>
            <w:r>
              <w:t xml:space="preserve">A weakness identifier is not a severity: it says what kind of mistake a finding is, not whether it matters where you run.</w:t>
            </w:r>
          </w:p>
        </w:tc>
      </w:tr>
      <w:tr>
        <w:tc>
          <w:tcPr/>
          <w:p>
            <w:pPr>
              <w:pStyle w:val="Compact"/>
            </w:pPr>
            <w:r>
              <w:rPr>
                <w:b/>
                <w:bCs/>
              </w:rPr>
              <w:t xml:space="preserve">CVE Program</w:t>
            </w:r>
          </w:p>
        </w:tc>
        <w:tc>
          <w:tcPr/>
          <w:p>
            <w:pPr>
              <w:pStyle w:val="Compact"/>
            </w:pPr>
            <w:r>
              <w:t xml:space="preserve">Identifiers and records. Not severity, not exploitability, not priority.</w:t>
            </w:r>
          </w:p>
        </w:tc>
        <w:tc>
          <w:tcPr/>
          <w:p>
            <w:pPr>
              <w:pStyle w:val="Compact"/>
            </w:pPr>
            <w:r>
              <w:t xml:space="preserve">A dependency policy, a customer contract or support agreement, or your own vulnerability management -- covering both what you consume and what you ship. The program demands nothing itself: what obliges anyone to act on a published identifier is the policy or the clause that quotes it.</w:t>
            </w:r>
          </w:p>
        </w:tc>
        <w:tc>
          <w:tcPr/>
          <w:p>
            <w:pPr>
              <w:pStyle w:val="Compact"/>
            </w:pPr>
            <w:r>
              <w:t xml:space="preserve">Operating. The 2025 contract lapse was averted by an extension, and the program board was told on 2026-01-21 there is no funding cliff in March. Replacement terms are not public.</w:t>
            </w:r>
          </w:p>
        </w:tc>
        <w:tc>
          <w:tcPr/>
          <w:p>
            <w:pPr>
              <w:pStyle w:val="Compact"/>
            </w:pPr>
            <w:r>
              <w:t xml:space="preserve">No published vulnerability identifiers is not a security property: it can equally mean nobody is looking, or that there is no route to publish one.</w:t>
            </w:r>
          </w:p>
        </w:tc>
      </w:tr>
      <w:tr>
        <w:tc>
          <w:tcPr/>
          <w:p>
            <w:pPr>
              <w:pStyle w:val="Compact"/>
            </w:pPr>
            <w:r>
              <w:rPr>
                <w:b/>
                <w:bCs/>
              </w:rPr>
              <w:t xml:space="preserve">SBOM formats: SPDX (ISO/IEC 5962:2021) and CycloneDX (ECMA-424, 2nd edition)</w:t>
            </w:r>
          </w:p>
        </w:tc>
        <w:tc>
          <w:tcPr/>
          <w:p>
            <w:pPr>
              <w:pStyle w:val="Compact"/>
            </w:pPr>
            <w:r>
              <w:t xml:space="preserve">A machine-readable document a parser accepts. No conformance mark exists for either.</w:t>
            </w:r>
          </w:p>
        </w:tc>
        <w:tc>
          <w:tcPr/>
          <w:p>
            <w:pPr>
              <w:pStyle w:val="Compact"/>
            </w:pPr>
            <w:r>
              <w:t xml:space="preserve">A customer or a regime asking for an SBOM in a commonly used machine-readable format.</w:t>
            </w:r>
          </w:p>
        </w:tc>
        <w:tc>
          <w:tcPr/>
          <w:p>
            <w:pPr>
              <w:pStyle w:val="Compact"/>
            </w:pPr>
            <w:r>
              <w:t xml:space="preserve">ISO/IEC 5962:2021 describes SPDX 2.2.1, which current tooling has moved past; SPDX 3.0 sat at draft stage on the check date. ECMA-424 2nd edition was adopted December 2025 and defines CycloneDX v1.7.</w:t>
            </w:r>
          </w:p>
        </w:tc>
        <w:tc>
          <w:tcPr/>
          <w:p>
            <w:pPr>
              <w:pStyle w:val="Compact"/>
            </w:pPr>
            <w:r>
              <w:t xml:space="preserve">"Prefer SPDX because it is the ISO standard." A format's standards-body lineage is not a compliance grade, and the widely quoted ISO number attaches to a 2021-era version rather than to what current tooling emits. Choosing on lineage answers a question nobody in the transaction asked.</w:t>
            </w:r>
          </w:p>
        </w:tc>
      </w:tr>
      <w:tr>
        <w:tc>
          <w:tcPr/>
          <w:p>
            <w:pPr>
              <w:pStyle w:val="Compact"/>
            </w:pPr>
            <w:r>
              <w:rPr>
                <w:b/>
                <w:bCs/>
              </w:rPr>
              <w:t xml:space="preserve">ISO/IEC 25010:2023</w:t>
            </w:r>
          </w:p>
        </w:tc>
        <w:tc>
          <w:tcPr/>
          <w:p>
            <w:pPr>
              <w:pStyle w:val="Compact"/>
            </w:pPr>
            <w:r>
              <w:t xml:space="preserve">A vocabulary of quality characteristics. It states no requirement a product could meet or fail.</w:t>
            </w:r>
          </w:p>
        </w:tc>
        <w:tc>
          <w:tcPr/>
          <w:p>
            <w:pPr>
              <w:pStyle w:val="Compact"/>
            </w:pPr>
            <w:r>
              <w:t xml:space="preserve">Requirements documents and procurement specifications that need both parties to mean the same thing.</w:t>
            </w:r>
          </w:p>
        </w:tc>
        <w:tc>
          <w:tcPr/>
          <w:p>
            <w:pPr>
              <w:pStyle w:val="Compact"/>
            </w:pPr>
            <w:r>
              <w:t xml:space="preserve">Second edition published November 2023, cancelling and replacing the 2011 edition. Usability and portability no longer exist as top-level names.</w:t>
            </w:r>
          </w:p>
        </w:tc>
        <w:tc>
          <w:tcPr/>
          <w:p>
            <w:pPr>
              <w:pStyle w:val="Compact"/>
            </w:pPr>
            <w:r>
              <w:t xml:space="preserve">"Usability is a characteristic." It was replaced in the 2023 edition, so a requirements document written against the 2011 names no longer resolves.</w:t>
            </w:r>
          </w:p>
        </w:tc>
      </w:tr>
    </w:tbl>
    <w:p>
      <w:pPr>
        <w:pStyle w:val="BodyText"/>
      </w:pPr>
      <w:hyperlink r:id="rId27">
        <w:r>
          <w:rPr>
            <w:rStyle w:val="Hyperlink"/>
          </w:rPr>
          <w:t xml:space="preserve">Code quality</w:t>
        </w:r>
      </w:hyperlink>
      <w:r>
        <w:t xml:space="preserve"> </w:t>
      </w:r>
      <w:r>
        <w:t xml:space="preserve">already cites the current edition of the product quality model for</w:t>
      </w:r>
      <w:r>
        <w:t xml:space="preserve"> </w:t>
      </w:r>
      <w:r>
        <w:t xml:space="preserve">its own purposes.</w:t>
      </w:r>
    </w:p>
    <w:p>
      <w:r>
        <w:pict>
          <v:rect style="width:0;height:1.5pt" o:hralign="center" o:hrstd="t" o:hr="t"/>
        </w:pict>
      </w:r>
    </w:p>
    <w:bookmarkEnd w:id="28"/>
    <w:bookmarkStart w:id="29" w:name="who-a-document-is-addressed-to"/>
    <w:p>
      <w:pPr>
        <w:pStyle w:val="Heading2"/>
      </w:pPr>
      <w:r>
        <w:t xml:space="preserve">Who a document is addressed to</w:t>
      </w:r>
    </w:p>
    <w:p>
      <w:pPr>
        <w:pStyle w:val="FirstParagraph"/>
      </w:pPr>
      <w:r>
        <w:rPr>
          <w:b/>
          <w:bCs/>
        </w:rPr>
        <w:t xml:space="preserve">The rows are above. This section and the three after it are the argument, and skipping them costs</w:t>
      </w:r>
      <w:r>
        <w:rPr>
          <w:b/>
          <w:bCs/>
        </w:rPr>
        <w:t xml:space="preserve"> </w:t>
      </w:r>
      <w:r>
        <w:rPr>
          <w:b/>
          <w:bCs/>
        </w:rPr>
        <w:t xml:space="preserve">you nothing above.</w:t>
      </w:r>
      <w:r>
        <w:t xml:space="preserve"> </w:t>
      </w:r>
      <w:r>
        <w:t xml:space="preserve">They cover the cut the tables sort on, the layer distinction that decides what</w:t>
      </w:r>
      <w:r>
        <w:t xml:space="preserve"> </w:t>
      </w:r>
      <w:r>
        <w:t xml:space="preserve">an instrument is evidence of, the routes by which any of this arrives, and why a status without a</w:t>
      </w:r>
      <w:r>
        <w:t xml:space="preserve"> </w:t>
      </w:r>
      <w:r>
        <w:t xml:space="preserve">date is worthless. If you came here to look one thing up, you are done.</w:t>
      </w:r>
    </w:p>
    <w:p>
      <w:pPr>
        <w:pStyle w:val="BodyText"/>
      </w:pPr>
      <w:r>
        <w:t xml:space="preserve">The addressee is the most stable fact about a document. Status, trigger and enforcement machinery</w:t>
      </w:r>
      <w:r>
        <w:t xml:space="preserve"> </w:t>
      </w:r>
      <w:r>
        <w:t xml:space="preserve">change constantly; the audience almost never does. That is why this page sorts on it, and why the</w:t>
      </w:r>
      <w:r>
        <w:t xml:space="preserve"> </w:t>
      </w:r>
      <w:r>
        <w:t xml:space="preserve">question is asked before any of the others. The test it runs is whose conduct a document's sentences</w:t>
      </w:r>
      <w:r>
        <w:t xml:space="preserve"> </w:t>
      </w:r>
      <w:r>
        <w:t xml:space="preserve">purport to govern -- not whether the document succeeds in obliging anyone on its own, which most of</w:t>
      </w:r>
      <w:r>
        <w:t xml:space="preserve"> </w:t>
      </w:r>
      <w:r>
        <w:t xml:space="preserve">them do not. What obliges you is the clause, the policy or the regime that quotes the document, and</w:t>
      </w:r>
      <w:r>
        <w:t xml:space="preserve"> </w:t>
      </w:r>
      <w:r>
        <w:t xml:space="preserve">that is the trigger column's question rather than this one.</w:t>
      </w:r>
    </w:p>
    <w:p>
      <w:pPr>
        <w:pStyle w:val="BodyText"/>
      </w:pPr>
      <w:r>
        <w:rPr>
          <w:b/>
          <w:bCs/>
        </w:rPr>
        <w:t xml:space="preserve">This is about who the sentences bind, not what the document is about.</w:t>
      </w:r>
      <w:r>
        <w:t xml:space="preserve"> </w:t>
      </w:r>
      <w:r>
        <w:t xml:space="preserve">The two come apart, and</w:t>
      </w:r>
      <w:r>
        <w:t xml:space="preserve"> </w:t>
      </w:r>
      <w:r>
        <w:t xml:space="preserve">that is the whole value of the cut. A publication can be entirely about how software gets built and</w:t>
      </w:r>
      <w:r>
        <w:t xml:space="preserve"> </w:t>
      </w:r>
      <w:r>
        <w:t xml:space="preserve">still be addressed to an organization, not a product -- its development controls are written</w:t>
      </w:r>
      <w:r>
        <w:t xml:space="preserve"> </w:t>
      </w:r>
      <w:r>
        <w:t xml:space="preserve">to bind an entity with personnel, facilities and an authorization boundary, not to bind a build.</w:t>
      </w:r>
      <w:r>
        <w:t xml:space="preserve"> </w:t>
      </w:r>
      <w:r>
        <w:t xml:space="preserve">Sorting by subject matter puts such a document next to a producer framework and invites a producer to</w:t>
      </w:r>
      <w:r>
        <w:t xml:space="preserve"> </w:t>
      </w:r>
      <w:r>
        <w:t xml:space="preserve">answer requirements that were never asked of them.</w:t>
      </w:r>
    </w:p>
    <w:p>
      <w:pPr>
        <w:pStyle w:val="BodyText"/>
      </w:pPr>
      <w:r>
        <w:rPr>
          <w:b/>
          <w:bCs/>
        </w:rPr>
        <w:t xml:space="preserve">"Makes demands of an assessor" does not mean "what an auditor will ask you for".</w:t>
      </w:r>
      <w:r>
        <w:t xml:space="preserve"> </w:t>
      </w:r>
      <w:r>
        <w:t xml:space="preserve">It means the</w:t>
      </w:r>
      <w:r>
        <w:t xml:space="preserve"> </w:t>
      </w:r>
      <w:r>
        <w:t xml:space="preserve">document tells someone how to conduct an examination -- the procedure, and who may run it. These are</w:t>
      </w:r>
      <w:r>
        <w:t xml:space="preserve"> </w:t>
      </w:r>
      <w:r>
        <w:t xml:space="preserve">method manuals for the examiner, not the evidence you hand over. Read the other way, the natural next</w:t>
      </w:r>
      <w:r>
        <w:t xml:space="preserve"> </w:t>
      </w:r>
      <w:r>
        <w:t xml:space="preserve">move is to build to them, which manufactures controls nothing ever required. The selector on the</w:t>
      </w:r>
      <w:r>
        <w:t xml:space="preserve"> </w:t>
      </w:r>
      <w:r>
        <w:t xml:space="preserve">routing page puts every such item in its own block, under that label, for exactly this reason.</w:t>
      </w:r>
    </w:p>
    <w:p>
      <w:pPr>
        <w:pStyle w:val="BodyText"/>
      </w:pPr>
      <w:r>
        <w:rPr>
          <w:b/>
          <w:bCs/>
        </w:rPr>
        <w:t xml:space="preserve">The fourth label names a use rather than an audience, and that is deliberate.</w:t>
      </w:r>
      <w:r>
        <w:t xml:space="preserve"> </w:t>
      </w:r>
      <w:r>
        <w:t xml:space="preserve">Nothing in that</w:t>
      </w:r>
      <w:r>
        <w:t xml:space="preserve"> </w:t>
      </w:r>
      <w:r>
        <w:t xml:space="preserve">group is written at anybody: its documents define the terms other documents' sentences are written</w:t>
      </w:r>
      <w:r>
        <w:t xml:space="preserve"> </w:t>
      </w:r>
      <w:r>
        <w:t xml:space="preserve">in, rather than governing anyone's conduct. That is what separates it from the other three, and it</w:t>
      </w:r>
      <w:r>
        <w:t xml:space="preserve"> </w:t>
      </w:r>
      <w:r>
        <w:t xml:space="preserve">is a fact about normative status rather than about importance -- a producer uses every item in the</w:t>
      </w:r>
      <w:r>
        <w:t xml:space="preserve"> </w:t>
      </w:r>
      <w:r>
        <w:t xml:space="preserve">group. A dependency policy is written in vulnerability identifiers, a scanner reports in weakness</w:t>
      </w:r>
      <w:r>
        <w:t xml:space="preserve"> </w:t>
      </w:r>
      <w:r>
        <w:t xml:space="preserve">identifiers, an SBOM is emitted in one of two formats, and a requirements document borrows the</w:t>
      </w:r>
      <w:r>
        <w:t xml:space="preserve"> </w:t>
      </w:r>
      <w:r>
        <w:t xml:space="preserve">quality vocabulary. Labeling the group by the absence invites a reader to skip it, which is the</w:t>
      </w:r>
      <w:r>
        <w:t xml:space="preserve"> </w:t>
      </w:r>
      <w:r>
        <w:t xml:space="preserve">wrong move for material their own policies are written in. Where a demand does exist it comes from</w:t>
      </w:r>
      <w:r>
        <w:t xml:space="preserve"> </w:t>
      </w:r>
      <w:r>
        <w:t xml:space="preserve">the policy, the contract or the vulnerability management program that quotes the document, never</w:t>
      </w:r>
      <w:r>
        <w:t xml:space="preserve"> </w:t>
      </w:r>
      <w:r>
        <w:t xml:space="preserve">from the document, so each row's trigger cell names that source instead.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Makes demands of</w:t>
            </w:r>
          </w:p>
        </w:tc>
        <w:tc>
          <w:tcPr/>
          <w:p>
            <w:pPr>
              <w:pStyle w:val="Compact"/>
            </w:pPr>
            <w:r>
              <w:t xml:space="preserve">What it is describing</w:t>
            </w:r>
          </w:p>
        </w:tc>
        <w:tc>
          <w:tcPr/>
          <w:p>
            <w:pPr>
              <w:pStyle w:val="Compact"/>
            </w:pPr>
            <w:r>
              <w:t xml:space="preserve">The failure when you get it wrong</w:t>
            </w:r>
          </w:p>
        </w:tc>
      </w:tr>
      <w:tr>
        <w:tc>
          <w:tcPr/>
          <w:p>
            <w:pPr>
              <w:pStyle w:val="Compact"/>
            </w:pPr>
            <w:r>
              <w:rPr>
                <w:b/>
                <w:bCs/>
              </w:rPr>
              <w:t xml:space="preserve">A software producer</w:t>
            </w:r>
          </w:p>
        </w:tc>
        <w:tc>
          <w:tcPr/>
          <w:p>
            <w:pPr>
              <w:pStyle w:val="Compact"/>
            </w:pPr>
            <w:r>
              <w:t xml:space="preserve">How code is built, reviewed, released and evidenced</w:t>
            </w:r>
          </w:p>
        </w:tc>
        <w:tc>
          <w:tcPr/>
          <w:p>
            <w:pPr>
              <w:pStyle w:val="Compact"/>
            </w:pPr>
            <w:r>
              <w:t xml:space="preserve">An operating-environment instrument offered as evidence about a build practice it never examined</w:t>
            </w:r>
          </w:p>
        </w:tc>
      </w:tr>
      <w:tr>
        <w:tc>
          <w:tcPr/>
          <w:p>
            <w:pPr>
              <w:pStyle w:val="Compact"/>
            </w:pPr>
            <w:r>
              <w:rPr>
                <w:b/>
                <w:bCs/>
              </w:rPr>
              <w:t xml:space="preserve">An organization, not a product</w:t>
            </w:r>
          </w:p>
        </w:tc>
        <w:tc>
          <w:tcPr/>
          <w:p>
            <w:pPr>
              <w:pStyle w:val="Compact"/>
            </w:pPr>
            <w:r>
              <w:t xml:space="preserve">How an entity runs, governs and secures itself -- its program, people, processes and, where it has them, the systems it operates and its authorization boundary</w:t>
            </w:r>
          </w:p>
        </w:tc>
        <w:tc>
          <w:tcPr/>
          <w:p>
            <w:pPr>
              <w:pStyle w:val="Compact"/>
            </w:pPr>
            <w:r>
              <w:t xml:space="preserve">A management-system or program instrument offered as evidence that a product is secure</w:t>
            </w:r>
          </w:p>
        </w:tc>
      </w:tr>
      <w:tr>
        <w:tc>
          <w:tcPr/>
          <w:p>
            <w:pPr>
              <w:pStyle w:val="Compact"/>
            </w:pPr>
            <w:r>
              <w:rPr>
                <w:b/>
                <w:bCs/>
              </w:rPr>
              <w:t xml:space="preserve">An assessor</w:t>
            </w:r>
          </w:p>
        </w:tc>
        <w:tc>
          <w:tcPr/>
          <w:p>
            <w:pPr>
              <w:pStyle w:val="Compact"/>
            </w:pPr>
            <w:r>
              <w:t xml:space="preserve">How an audit or examination is conducted, and by whom</w:t>
            </w:r>
          </w:p>
        </w:tc>
        <w:tc>
          <w:tcPr/>
          <w:p>
            <w:pPr>
              <w:pStyle w:val="Compact"/>
            </w:pPr>
            <w:r>
              <w:t xml:space="preserve">Assessor rules read as requirements on yourself, producing controls the standard never asked for</w:t>
            </w:r>
          </w:p>
        </w:tc>
      </w:tr>
      <w:tr>
        <w:tc>
          <w:tcPr/>
          <w:p>
            <w:pPr>
              <w:pStyle w:val="Compact"/>
            </w:pPr>
            <w:r>
              <w:rPr>
                <w:b/>
                <w:bCs/>
              </w:rPr>
              <w:t xml:space="preserve">Input you use, not a rule you meet</w:t>
            </w:r>
          </w:p>
        </w:tc>
        <w:tc>
          <w:tcPr/>
          <w:p>
            <w:pPr>
              <w:pStyle w:val="Compact"/>
            </w:pPr>
            <w:r>
              <w:t xml:space="preserve">Identifier spaces, formats and vocabularies that policies, scanners and contracts are written in. A producer uses all of them and conforms to none of them</w:t>
            </w:r>
          </w:p>
        </w:tc>
        <w:tc>
          <w:tcPr/>
          <w:p>
            <w:pPr>
              <w:pStyle w:val="Compact"/>
            </w:pPr>
            <w:r>
              <w:t xml:space="preserve">Read as "skip this". Also an identifier read as a severity, or a format's standards-body lineage read as a compliance grade</w:t>
            </w:r>
          </w:p>
        </w:tc>
      </w:tr>
    </w:tbl>
    <w:p>
      <w:pPr>
        <w:pStyle w:val="BodyText"/>
      </w:pPr>
      <w:r>
        <w:rPr>
          <w:b/>
          <w:bCs/>
        </w:rPr>
        <w:t xml:space="preserve">One row, one place.</w:t>
      </w:r>
      <w:r>
        <w:t xml:space="preserve"> </w:t>
      </w:r>
      <w:r>
        <w:t xml:space="preserve">Every item appears exactly once above. An item addressing two audiences is</w:t>
      </w:r>
      <w:r>
        <w:t xml:space="preserve"> </w:t>
      </w:r>
      <w:r>
        <w:t xml:space="preserve">placed where the cost of acting lands.</w:t>
      </w:r>
    </w:p>
    <w:p>
      <w:r>
        <w:pict>
          <v:rect style="width:0;height:1.5pt" o:hralign="center" o:hrstd="t" o:hr="t"/>
        </w:pict>
      </w:r>
    </w:p>
    <w:bookmarkEnd w:id="29"/>
    <w:bookmarkStart w:id="30" w:name="Xec54665e908c89ecc68195cf1b924f4fd00fad3"/>
    <w:p>
      <w:pPr>
        <w:pStyle w:val="Heading2"/>
      </w:pPr>
      <w:r>
        <w:t xml:space="preserve">The organization layer is not the software layer</w:t>
      </w:r>
    </w:p>
    <w:p>
      <w:pPr>
        <w:pStyle w:val="FirstParagraph"/>
      </w:pPr>
      <w:r>
        <w:rPr>
          <w:b/>
          <w:bCs/>
        </w:rPr>
        <w:t xml:space="preserve">This is the single most useful sentence on the subject.</w:t>
      </w:r>
      <w:r>
        <w:t xml:space="preserve"> </w:t>
      </w:r>
      <w:r>
        <w:t xml:space="preserve">A buyer asks a software vendor for a</w:t>
      </w:r>
      <w:r>
        <w:t xml:space="preserve"> </w:t>
      </w:r>
      <w:r>
        <w:t xml:space="preserve">certificate or an audit report and reads the answer as evidence about the SOFTWARE. Those instruments</w:t>
      </w:r>
      <w:r>
        <w:t xml:space="preserve"> </w:t>
      </w:r>
      <w:r>
        <w:t xml:space="preserve">are evidence about the ORGANIZATION. A vendor can hold every one of them and still ship insecure</w:t>
      </w:r>
      <w:r>
        <w:t xml:space="preserve"> </w:t>
      </w:r>
      <w:r>
        <w:t xml:space="preserve">code, because none of them looked at the code.</w:t>
      </w:r>
    </w:p>
    <w:p>
      <w:pPr>
        <w:pStyle w:val="BodyText"/>
      </w:pPr>
      <w:r>
        <w:t xml:space="preserve">That does not make them worthless. They establish that a company has a functioning security program,</w:t>
      </w:r>
      <w:r>
        <w:t xml:space="preserve"> </w:t>
      </w:r>
      <w:r>
        <w:t xml:space="preserve">which is a real thing to know and worth paying for. They simply do not answer "is this product</w:t>
      </w:r>
      <w:r>
        <w:t xml:space="preserve"> </w:t>
      </w:r>
      <w:r>
        <w:t xml:space="preserve">secure", and the failure is reading them as though they did.</w:t>
      </w:r>
    </w:p>
    <w:p>
      <w:pPr>
        <w:pStyle w:val="BodyText"/>
      </w:pPr>
      <w:r>
        <w:t xml:space="preserve">Three of them below, presented as members of a set alongside the payment-chain validation</w:t>
      </w:r>
      <w:r>
        <w:t xml:space="preserve"> </w:t>
      </w:r>
      <w:r>
        <w:t xml:space="preserve">instruments, the two cloud program authorizations, and the law-enforcement-data policy that sit in</w:t>
      </w:r>
      <w:r>
        <w:t xml:space="preserve"> </w:t>
      </w:r>
      <w:r>
        <w:t xml:space="preserve">the same layer. Full rows, with statuses and the check date, are under</w:t>
      </w:r>
      <w:r>
        <w:t xml:space="preserve"> </w:t>
      </w:r>
      <w:hyperlink w:anchor="certification-and-program-regimes">
        <w:r>
          <w:rPr>
            <w:rStyle w:val="Hyperlink"/>
          </w:rPr>
          <w:t xml:space="preserve">certification and program regimes</w:t>
        </w:r>
      </w:hyperlink>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The instrument</w:t>
            </w:r>
          </w:p>
        </w:tc>
        <w:tc>
          <w:tcPr/>
          <w:p>
            <w:pPr>
              <w:pStyle w:val="Compact"/>
            </w:pPr>
            <w:r>
              <w:t xml:space="preserve">What it actually is</w:t>
            </w:r>
          </w:p>
        </w:tc>
        <w:tc>
          <w:tcPr/>
          <w:p>
            <w:pPr>
              <w:pStyle w:val="Compact"/>
            </w:pPr>
            <w:r>
              <w:t xml:space="preserve">The question that makes it useful</w:t>
            </w:r>
          </w:p>
        </w:tc>
      </w:tr>
      <w:tr>
        <w:tc>
          <w:tcPr/>
          <w:p>
            <w:pPr>
              <w:pStyle w:val="Compact"/>
            </w:pPr>
            <w:r>
              <w:rPr>
                <w:b/>
                <w:bCs/>
              </w:rPr>
              <w:t xml:space="preserve">An examination report on a service organization</w:t>
            </w:r>
          </w:p>
        </w:tc>
        <w:tc>
          <w:tcPr/>
          <w:p>
            <w:pPr>
              <w:pStyle w:val="Compact"/>
            </w:pPr>
            <w:r>
              <w:t xml:space="preserve">A licensed firm's opinion against elected criteria, restricted in use, with no pass mark and no certificate. Type 2 covers operating effectiveness over a period, typically six to twelve months; Type 1 is a point-in-time design opinion only</w:t>
            </w:r>
          </w:p>
        </w:tc>
        <w:tc>
          <w:tcPr/>
          <w:p>
            <w:pPr>
              <w:pStyle w:val="Compact"/>
            </w:pPr>
            <w:r>
              <w:t xml:space="preserve">Read the scope statement and the listed exceptions. A report with no exceptions over twelve months is unusual enough to be worth asking about. The cover page tells you nothing</w:t>
            </w:r>
          </w:p>
        </w:tc>
      </w:tr>
      <w:tr>
        <w:tc>
          <w:tcPr/>
          <w:p>
            <w:pPr>
              <w:pStyle w:val="Compact"/>
            </w:pPr>
            <w:r>
              <w:rPr>
                <w:b/>
                <w:bCs/>
              </w:rPr>
              <w:t xml:space="preserve">A management-system certificate from an accredited body</w:t>
            </w:r>
          </w:p>
        </w:tc>
        <w:tc>
          <w:tcPr/>
          <w:p>
            <w:pPr>
              <w:pStyle w:val="Compact"/>
            </w:pPr>
            <w:r>
              <w:t xml:space="preserve">A certificate for a stated scope, issued by a certification body rather than by the standards publisher. Universally called "the international" version of the report above, and it is a different instrument with a different failure mode</w:t>
            </w:r>
          </w:p>
        </w:tc>
        <w:tc>
          <w:tcPr/>
          <w:p>
            <w:pPr>
              <w:pStyle w:val="Compact"/>
            </w:pPr>
            <w:r>
              <w:t xml:space="preserve">Read the scope statement on the certificate. A certificate whose scope covers one office or one business unit is common, and is not what the reader assumes</w:t>
            </w:r>
          </w:p>
        </w:tc>
      </w:tr>
      <w:tr>
        <w:tc>
          <w:tcPr/>
          <w:p>
            <w:pPr>
              <w:pStyle w:val="Compact"/>
            </w:pPr>
            <w:r>
              <w:rPr>
                <w:b/>
                <w:bCs/>
              </w:rPr>
              <w:t xml:space="preserve">A validated assessment of an organization's controls and environment</w:t>
            </w:r>
          </w:p>
        </w:tc>
        <w:tc>
          <w:tcPr/>
          <w:p>
            <w:pPr>
              <w:pStyle w:val="Compact"/>
            </w:pPr>
            <w:r>
              <w:t xml:space="preserve">A third-party validated result at one of several named tiers, which are not interchangeable. Explicitly not a software product certification: there is no path by which distributable software is certified, though the environment operating it can be</w:t>
            </w:r>
          </w:p>
        </w:tc>
        <w:tc>
          <w:tcPr/>
          <w:p>
            <w:pPr>
              <w:pStyle w:val="Compact"/>
            </w:pPr>
            <w:r>
              <w:t xml:space="preserve">Which tier, and what was in scope. Scope drives control count enormously -- the same highest tier can be a few hundred controls for one organization and a few thousand for another</w:t>
            </w:r>
          </w:p>
        </w:tc>
      </w:tr>
    </w:tbl>
    <w:p>
      <w:pPr>
        <w:pStyle w:val="BodyText"/>
      </w:pPr>
      <w:r>
        <w:rPr>
          <w:b/>
          <w:bCs/>
        </w:rPr>
        <w:t xml:space="preserve">If what you sell is distributed software rather than a hosted service, the product can sit entirely</w:t>
      </w:r>
      <w:r>
        <w:rPr>
          <w:b/>
          <w:bCs/>
        </w:rPr>
        <w:t xml:space="preserve"> </w:t>
      </w:r>
      <w:r>
        <w:rPr>
          <w:b/>
          <w:bCs/>
        </w:rPr>
        <w:t xml:space="preserve">outside the scope boundary of every row above.</w:t>
      </w:r>
      <w:r>
        <w:t xml:space="preserve"> </w:t>
      </w:r>
      <w:r>
        <w:t xml:space="preserve">That is not a loophole and not an accusation; it is</w:t>
      </w:r>
      <w:r>
        <w:t xml:space="preserve"> </w:t>
      </w:r>
      <w:r>
        <w:t xml:space="preserve">what the scope statement says, and it is why the third column of that table is the column that</w:t>
      </w:r>
      <w:r>
        <w:t xml:space="preserve"> </w:t>
      </w:r>
      <w:r>
        <w:t xml:space="preserve">matters.</w:t>
      </w:r>
    </w:p>
    <w:p>
      <w:pPr>
        <w:pStyle w:val="BodyText"/>
      </w:pPr>
      <w:r>
        <w:t xml:space="preserve">The cloud program authorizations belong in this layer for the same reason: they assess a service</w:t>
      </w:r>
      <w:r>
        <w:t xml:space="preserve"> </w:t>
      </w:r>
      <w:r>
        <w:t xml:space="preserve">offering you operate, which is why they sit with the operating organization even though a software</w:t>
      </w:r>
      <w:r>
        <w:t xml:space="preserve"> </w:t>
      </w:r>
      <w:r>
        <w:t xml:space="preserve">company usually pays for them.</w:t>
      </w:r>
    </w:p>
    <w:p>
      <w:r>
        <w:pict>
          <v:rect style="width:0;height:1.5pt" o:hralign="center" o:hrstd="t" o:hr="t"/>
        </w:pict>
      </w:r>
    </w:p>
    <w:bookmarkEnd w:id="30"/>
    <w:bookmarkStart w:id="31" w:name="how-these-actually-arrive"/>
    <w:p>
      <w:pPr>
        <w:pStyle w:val="Heading2"/>
      </w:pPr>
      <w:r>
        <w:t xml:space="preserve">How these actually arrive</w:t>
      </w:r>
    </w:p>
    <w:p>
      <w:pPr>
        <w:pStyle w:val="FirstParagraph"/>
      </w:pPr>
      <w:r>
        <w:t xml:space="preserve">At least five routes. This is the part that decides where budget and ownership land, because the</w:t>
      </w:r>
      <w:r>
        <w:t xml:space="preserve"> </w:t>
      </w:r>
      <w:r>
        <w:t xml:space="preserve">route determines the owner far more reliably than the subject does.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Route in</w:t>
            </w:r>
          </w:p>
        </w:tc>
        <w:tc>
          <w:tcPr/>
          <w:p>
            <w:pPr>
              <w:pStyle w:val="Compact"/>
            </w:pPr>
            <w:r>
              <w:t xml:space="preserve">What it looks like on the day</w:t>
            </w:r>
          </w:p>
        </w:tc>
        <w:tc>
          <w:tcPr/>
          <w:p>
            <w:pPr>
              <w:pStyle w:val="Compact"/>
            </w:pPr>
            <w:r>
              <w:t xml:space="preserve">What actually governs</w:t>
            </w:r>
          </w:p>
        </w:tc>
        <w:tc>
          <w:tcPr/>
          <w:p>
            <w:pPr>
              <w:pStyle w:val="Compact"/>
            </w:pPr>
            <w:r>
              <w:t xml:space="preserve">Who owns the response internally</w:t>
            </w:r>
          </w:p>
        </w:tc>
      </w:tr>
      <w:tr>
        <w:tc>
          <w:tcPr/>
          <w:p>
            <w:pPr>
              <w:pStyle w:val="Compact"/>
            </w:pPr>
            <w:r>
              <w:rPr>
                <w:b/>
                <w:bCs/>
              </w:rPr>
              <w:t xml:space="preserve">Direct binding on a producer</w:t>
            </w:r>
          </w:p>
        </w:tc>
        <w:tc>
          <w:tcPr/>
          <w:p>
            <w:pPr>
              <w:pStyle w:val="Compact"/>
            </w:pPr>
            <w:r>
              <w:t xml:space="preserve">A market-access rule you satisfy before you ship, with no customer asking</w:t>
            </w:r>
          </w:p>
        </w:tc>
        <w:tc>
          <w:tcPr/>
          <w:p>
            <w:pPr>
              <w:pStyle w:val="Compact"/>
            </w:pPr>
            <w:r>
              <w:t xml:space="preserve">The regulation and the conformity route it sets</w:t>
            </w:r>
          </w:p>
        </w:tc>
        <w:tc>
          <w:tcPr/>
          <w:p>
            <w:pPr>
              <w:pStyle w:val="Compact"/>
            </w:pPr>
            <w:r>
              <w:t xml:space="preserve">Engineering and release, not the compliance function</w:t>
            </w:r>
          </w:p>
        </w:tc>
      </w:tr>
      <w:tr>
        <w:tc>
          <w:tcPr/>
          <w:p>
            <w:pPr>
              <w:pStyle w:val="Compact"/>
            </w:pPr>
            <w:r>
              <w:rPr>
                <w:b/>
                <w:bCs/>
              </w:rPr>
              <w:t xml:space="preserve">A clause in one specific contract, or a flow-down from a prime</w:t>
            </w:r>
          </w:p>
        </w:tc>
        <w:tc>
          <w:tcPr/>
          <w:p>
            <w:pPr>
              <w:pStyle w:val="Compact"/>
            </w:pPr>
            <w:r>
              <w:t xml:space="preserve">A clause number in a solicitation or an award</w:t>
            </w:r>
          </w:p>
        </w:tc>
        <w:tc>
          <w:tcPr/>
          <w:p>
            <w:pPr>
              <w:pStyle w:val="Compact"/>
            </w:pPr>
            <w:r>
              <w:t xml:space="preserve">The clause text, plus any deviation that modifies it. Not the publication it cites</w:t>
            </w:r>
          </w:p>
        </w:tc>
        <w:tc>
          <w:tcPr/>
          <w:p>
            <w:pPr>
              <w:pStyle w:val="Compact"/>
            </w:pPr>
            <w:r>
              <w:t xml:space="preserve">Contracts, with security supplying the evidence</w:t>
            </w:r>
          </w:p>
        </w:tc>
      </w:tr>
      <w:tr>
        <w:tc>
          <w:tcPr/>
          <w:p>
            <w:pPr>
              <w:pStyle w:val="Compact"/>
            </w:pPr>
            <w:r>
              <w:rPr>
                <w:b/>
                <w:bCs/>
              </w:rPr>
              <w:t xml:space="preserve">A supplier-risk clause inside somebody else's regime -- the questionnaire</w:t>
            </w:r>
          </w:p>
        </w:tc>
        <w:tc>
          <w:tcPr/>
          <w:p>
            <w:pPr>
              <w:pStyle w:val="Compact"/>
            </w:pPr>
            <w:r>
              <w:t xml:space="preserve">A spreadsheet quoting identifiers drawn from several unrelated documents</w:t>
            </w:r>
          </w:p>
        </w:tc>
        <w:tc>
          <w:tcPr/>
          <w:p>
            <w:pPr>
              <w:pStyle w:val="Compact"/>
            </w:pPr>
            <w:r>
              <w:t xml:space="preserve">Their obligation, not yours. It never binds you; it obliges them to ask</w:t>
            </w:r>
          </w:p>
        </w:tc>
        <w:tc>
          <w:tcPr/>
          <w:p>
            <w:pPr>
              <w:pStyle w:val="Compact"/>
            </w:pPr>
            <w:r>
              <w:t xml:space="preserve">Security with sales, and it is the largest recurring cost in this table</w:t>
            </w:r>
          </w:p>
        </w:tc>
      </w:tr>
      <w:tr>
        <w:tc>
          <w:tcPr/>
          <w:p>
            <w:pPr>
              <w:pStyle w:val="Compact"/>
            </w:pPr>
            <w:r>
              <w:rPr>
                <w:b/>
                <w:bCs/>
              </w:rPr>
              <w:t xml:space="preserve">A procurement or payment-chain agreement</w:t>
            </w:r>
          </w:p>
        </w:tc>
        <w:tc>
          <w:tcPr/>
          <w:p>
            <w:pPr>
              <w:pStyle w:val="Compact"/>
            </w:pPr>
            <w:r>
              <w:t xml:space="preserve">A program status or a validation requirement as a condition of the deal</w:t>
            </w:r>
          </w:p>
        </w:tc>
        <w:tc>
          <w:tcPr/>
          <w:p>
            <w:pPr>
              <w:pStyle w:val="Compact"/>
            </w:pPr>
            <w:r>
              <w:t xml:space="preserve">The program's or the counterparty's own rules, which may not be the standard author's</w:t>
            </w:r>
          </w:p>
        </w:tc>
        <w:tc>
          <w:tcPr/>
          <w:p>
            <w:pPr>
              <w:pStyle w:val="Compact"/>
            </w:pPr>
            <w:r>
              <w:t xml:space="preserve">The program owner, usually outside security</w:t>
            </w:r>
          </w:p>
        </w:tc>
      </w:tr>
      <w:tr>
        <w:tc>
          <w:tcPr/>
          <w:p>
            <w:pPr>
              <w:pStyle w:val="Compact"/>
            </w:pPr>
            <w:r>
              <w:rPr>
                <w:b/>
                <w:bCs/>
              </w:rPr>
              <w:t xml:space="preserve">Your own risk decision</w:t>
            </w:r>
          </w:p>
        </w:tc>
        <w:tc>
          <w:tcPr/>
          <w:p>
            <w:pPr>
              <w:pStyle w:val="Compact"/>
            </w:pPr>
            <w:r>
              <w:t xml:space="preserve">Nobody asked. You adopted it</w:t>
            </w:r>
          </w:p>
        </w:tc>
        <w:tc>
          <w:tcPr/>
          <w:p>
            <w:pPr>
              <w:pStyle w:val="Compact"/>
            </w:pPr>
            <w:r>
              <w:t xml:space="preserve">Your own written scope, and nothing else</w:t>
            </w:r>
          </w:p>
        </w:tc>
        <w:tc>
          <w:tcPr/>
          <w:p>
            <w:pPr>
              <w:pStyle w:val="Compact"/>
            </w:pPr>
            <w:r>
              <w:t xml:space="preserve">Whoever proposed it, and that should be written down</w:t>
            </w:r>
          </w:p>
        </w:tc>
      </w:tr>
    </w:tbl>
    <w:p>
      <w:pPr>
        <w:pStyle w:val="BodyText"/>
      </w:pPr>
      <w:r>
        <w:rPr>
          <w:b/>
          <w:bCs/>
        </w:rPr>
        <w:t xml:space="preserve">Exactly one item on this page takes the first route.</w:t>
      </w:r>
      <w:r>
        <w:t xml:space="preserve"> </w:t>
      </w:r>
      <w:r>
        <w:t xml:space="preserve">The market-access regulation binds a</w:t>
      </w:r>
      <w:r>
        <w:t xml:space="preserve"> </w:t>
      </w:r>
      <w:r>
        <w:t xml:space="preserve">producer with nobody asking: placing a product with digital elements on that market is the trigger,</w:t>
      </w:r>
      <w:r>
        <w:t xml:space="preserve"> </w:t>
      </w:r>
      <w:r>
        <w:t xml:space="preserve">so where the product goes decides it and who buys it does not. Everything else arrives because</w:t>
      </w:r>
      <w:r>
        <w:t xml:space="preserve"> </w:t>
      </w:r>
      <w:r>
        <w:t xml:space="preserve">somebody asked -- a contracting officer inserted a clause, a prime flowed one down, a customer sent a</w:t>
      </w:r>
      <w:r>
        <w:t xml:space="preserve"> </w:t>
      </w:r>
      <w:r>
        <w:t xml:space="preserve">questionnaire, an acquirer set a validation requirement, or you adopted it yourself. So the first</w:t>
      </w:r>
      <w:r>
        <w:t xml:space="preserve"> </w:t>
      </w:r>
      <w:r>
        <w:t xml:space="preserve">question about any named standard is never "what does it say". It is</w:t>
      </w:r>
      <w:r>
        <w:t xml:space="preserve"> </w:t>
      </w:r>
      <w:r>
        <w:rPr>
          <w:b/>
          <w:bCs/>
        </w:rPr>
        <w:t xml:space="preserve">who is asking, and in which</w:t>
      </w:r>
      <w:r>
        <w:rPr>
          <w:b/>
          <w:bCs/>
        </w:rPr>
        <w:t xml:space="preserve"> </w:t>
      </w:r>
      <w:r>
        <w:rPr>
          <w:b/>
          <w:bCs/>
        </w:rPr>
        <w:t xml:space="preserve">document</w:t>
      </w:r>
      <w:r>
        <w:t xml:space="preserve">.</w:t>
      </w:r>
    </w:p>
    <w:p>
      <w:pPr>
        <w:pStyle w:val="BodyText"/>
      </w:pPr>
      <w:r>
        <w:t xml:space="preserve">The routine consequence is a budget in the wrong place. A market-access rule has to be satisfied</w:t>
      </w:r>
      <w:r>
        <w:t xml:space="preserve"> </w:t>
      </w:r>
      <w:r>
        <w:t xml:space="preserve">before shipping, so it is owned by engineering and release. Everything else is owned by whoever holds</w:t>
      </w:r>
      <w:r>
        <w:t xml:space="preserve"> </w:t>
      </w:r>
      <w:r>
        <w:t xml:space="preserve">the contract, with security supplying evidence. Sorting a program by subject matter puts both in the</w:t>
      </w:r>
      <w:r>
        <w:t xml:space="preserve"> </w:t>
      </w:r>
      <w:r>
        <w:t xml:space="preserve">same pile and gives them to the same team.</w:t>
      </w:r>
    </w:p>
    <w:p>
      <w:r>
        <w:pict>
          <v:rect style="width:0;height:1.5pt" o:hralign="center" o:hrstd="t" o:hr="t"/>
        </w:pict>
      </w:r>
    </w:p>
    <w:bookmarkEnd w:id="31"/>
    <w:bookmarkStart w:id="33" w:name="why-every-status-carries-a-date"/>
    <w:p>
      <w:pPr>
        <w:pStyle w:val="Heading2"/>
      </w:pPr>
      <w:r>
        <w:t xml:space="preserve">Why every status carries a date</w:t>
      </w:r>
    </w:p>
    <w:p>
      <w:pPr>
        <w:pStyle w:val="FirstParagraph"/>
      </w:pPr>
      <w:r>
        <w:t xml:space="preserve">Staleness takes at least five shapes. Naming them is worth more than any individual fact, because you</w:t>
      </w:r>
      <w:r>
        <w:t xml:space="preserve"> </w:t>
      </w:r>
      <w:r>
        <w:t xml:space="preserve">will meet a sixth.</w:t>
      </w:r>
    </w:p>
    <w:p>
      <w:pPr>
        <w:pStyle w:val="Compact"/>
        <w:numPr>
          <w:ilvl w:val="0"/>
          <w:numId w:val="1002"/>
        </w:numPr>
      </w:pPr>
      <w:r>
        <w:rPr>
          <w:b/>
          <w:bCs/>
        </w:rPr>
        <w:t xml:space="preserve">A mandate rescinded while its artifacts survive.</w:t>
      </w:r>
      <w:r>
        <w:t xml:space="preserve"> </w:t>
      </w:r>
      <w:r>
        <w:t xml:space="preserve">The instruction goes; the form, the signature</w:t>
      </w:r>
      <w:r>
        <w:t xml:space="preserve"> </w:t>
      </w:r>
      <w:r>
        <w:t xml:space="preserve">and any standing duty attached to it do not. The worked example is</w:t>
      </w:r>
      <w:r>
        <w:t xml:space="preserve"> </w:t>
      </w:r>
      <w:hyperlink w:anchor="requirement-shaped-items">
        <w:r>
          <w:rPr>
            <w:rStyle w:val="Hyperlink"/>
          </w:rPr>
          <w:t xml:space="preserve">the federal attestation chain</w:t>
        </w:r>
      </w:hyperlink>
      <w:r>
        <w:t xml:space="preserve"> </w:t>
      </w:r>
      <w:r>
        <w:t xml:space="preserve">above: told as one January 2026 event</w:t>
      </w:r>
      <w:r>
        <w:t xml:space="preserve"> </w:t>
      </w:r>
      <w:r>
        <w:t xml:space="preserve">when it was two, seven months apart, which loses the fact that the verification model was already</w:t>
      </w:r>
      <w:r>
        <w:t xml:space="preserve"> </w:t>
      </w:r>
      <w:r>
        <w:t xml:space="preserve">gone in mid-2025.</w:t>
      </w:r>
    </w:p>
    <w:p>
      <w:pPr>
        <w:pStyle w:val="Compact"/>
        <w:numPr>
          <w:ilvl w:val="0"/>
          <w:numId w:val="1002"/>
        </w:numPr>
      </w:pPr>
      <w:r>
        <w:rPr>
          <w:b/>
          <w:bCs/>
        </w:rPr>
        <w:t xml:space="preserve">A draft cited as though final.</w:t>
      </w:r>
      <w:r>
        <w:t xml:space="preserve"> </w:t>
      </w:r>
      <w:r>
        <w:t xml:space="preserve">The most common shape and the hardest to see, because a draft</w:t>
      </w:r>
      <w:r>
        <w:t xml:space="preserve"> </w:t>
      </w:r>
      <w:r>
        <w:t xml:space="preserve">and a final look identical once quoted in a policy.</w:t>
      </w:r>
    </w:p>
    <w:p>
      <w:pPr>
        <w:pStyle w:val="Compact"/>
        <w:numPr>
          <w:ilvl w:val="0"/>
          <w:numId w:val="1002"/>
        </w:numPr>
      </w:pPr>
      <w:r>
        <w:rPr>
          <w:b/>
          <w:bCs/>
        </w:rPr>
        <w:t xml:space="preserve">A published version that is not the version being audited.</w:t>
      </w:r>
      <w:r>
        <w:t xml:space="preserve"> </w:t>
      </w:r>
      <w:r>
        <w:t xml:space="preserve">The newest file on a publisher's</w:t>
      </w:r>
      <w:r>
        <w:t xml:space="preserve"> </w:t>
      </w:r>
      <w:r>
        <w:t xml:space="preserve">site is not automatically the assessment baseline.</w:t>
      </w:r>
    </w:p>
    <w:p>
      <w:pPr>
        <w:pStyle w:val="Compact"/>
        <w:numPr>
          <w:ilvl w:val="0"/>
          <w:numId w:val="1002"/>
        </w:numPr>
      </w:pPr>
      <w:r>
        <w:rPr>
          <w:b/>
          <w:bCs/>
        </w:rPr>
        <w:t xml:space="preserve">A rename.</w:t>
      </w:r>
      <w:r>
        <w:t xml:space="preserve"> </w:t>
      </w:r>
      <w:r>
        <w:t xml:space="preserve">Search stops working, and both names are often legitimately live at once.</w:t>
      </w:r>
    </w:p>
    <w:p>
      <w:pPr>
        <w:pStyle w:val="Compact"/>
        <w:numPr>
          <w:ilvl w:val="0"/>
          <w:numId w:val="1002"/>
        </w:numPr>
      </w:pPr>
      <w:r>
        <w:rPr>
          <w:b/>
          <w:bCs/>
        </w:rPr>
        <w:t xml:space="preserve">A milestone suspended by policy while the rule that set it stands unamended.</w:t>
      </w:r>
      <w:r>
        <w:t xml:space="preserve"> </w:t>
      </w:r>
      <w:r>
        <w:t xml:space="preserve">The rule text and</w:t>
      </w:r>
      <w:r>
        <w:t xml:space="preserve"> </w:t>
      </w:r>
      <w:r>
        <w:t xml:space="preserve">the operative position then disagree, and only one of them is in the publication. The defense</w:t>
      </w:r>
      <w:r>
        <w:t xml:space="preserve"> </w:t>
      </w:r>
      <w:r>
        <w:t xml:space="preserve">program's phases beyond the first, suspended on 2026-07-13 with neither rule amended nor repealed,</w:t>
      </w:r>
      <w:r>
        <w:t xml:space="preserve"> </w:t>
      </w:r>
      <w:r>
        <w:t xml:space="preserve">are the live example; its row above carries the full correction.</w:t>
      </w:r>
    </w:p>
    <w:p>
      <w:pPr>
        <w:pStyle w:val="FirstParagraph"/>
      </w:pPr>
      <w:r>
        <w:rPr>
          <w:b/>
          <w:bCs/>
        </w:rPr>
        <w:t xml:space="preserve">The instrument check.</w:t>
      </w:r>
      <w:r>
        <w:t xml:space="preserve"> </w:t>
      </w:r>
      <w:r>
        <w:t xml:space="preserve">What binds you is a clause, and a clause pins a dated version. So "use the</w:t>
      </w:r>
      <w:r>
        <w:t xml:space="preserve"> </w:t>
      </w:r>
      <w:r>
        <w:t xml:space="preserve">current publication" is frequently the wrong instruction: a regulation citing a publication by date</w:t>
      </w:r>
      <w:r>
        <w:t xml:space="preserve"> </w:t>
      </w:r>
      <w:r>
        <w:t xml:space="preserve">keeps citing it after the publisher supersedes it, which is how a rule stays stable rather than an</w:t>
      </w:r>
      <w:r>
        <w:t xml:space="preserve"> </w:t>
      </w:r>
      <w:r>
        <w:t xml:space="preserve">error in it. It is also why no identifier here appears without its version, revision, edition or</w:t>
      </w:r>
      <w:r>
        <w:t xml:space="preserve"> </w:t>
      </w:r>
      <w:r>
        <w:t xml:space="preserve">release -- a bare identifier resolves differently depending on when and where you look it up.</w:t>
      </w:r>
      <w:r>
        <w:t xml:space="preserve"> </w:t>
      </w:r>
      <w:hyperlink r:id="rId32">
        <w:r>
          <w:rPr>
            <w:rStyle w:val="Hyperlink"/>
          </w:rPr>
          <w:t xml:space="preserve">The assessment method page</w:t>
        </w:r>
      </w:hyperlink>
      <w:r>
        <w:t xml:space="preserve"> </w:t>
      </w:r>
      <w:r>
        <w:t xml:space="preserve">covers pinning a standard's corpus so it cannot</w:t>
      </w:r>
      <w:r>
        <w:t xml:space="preserve"> </w:t>
      </w:r>
      <w:r>
        <w:t xml:space="preserve">shift underneath an assessment already in progress.</w:t>
      </w:r>
    </w:p>
    <w:p>
      <w:r>
        <w:pict>
          <v:rect style="width:0;height:1.5pt" o:hralign="center" o:hrstd="t" o:hr="t"/>
        </w:pict>
      </w:r>
    </w:p>
    <w:bookmarkEnd w:id="33"/>
    <w:bookmarkStart w:id="34" w:name="what-is-not-primary-verified-here"/>
    <w:p>
      <w:pPr>
        <w:pStyle w:val="Heading2"/>
      </w:pPr>
      <w:r>
        <w:t xml:space="preserve">What is not primary-verified here</w:t>
      </w:r>
    </w:p>
    <w:p>
      <w:pPr>
        <w:pStyle w:val="FirstParagraph"/>
      </w:pPr>
      <w:r>
        <w:t xml:space="preserve">Each row names the check to run instead of trusting this page. One limit covers a whole class and is</w:t>
      </w:r>
      <w:r>
        <w:t xml:space="preserve"> </w:t>
      </w:r>
      <w:r>
        <w:t xml:space="preserve">stated once rather than repeated per row: several US regulator and agency sites refused automated</w:t>
      </w:r>
      <w:r>
        <w:t xml:space="preserve"> </w:t>
      </w:r>
      <w:r>
        <w:t xml:space="preserve">requests on the check date, so claims sourced to them were read through search results rather than</w:t>
      </w:r>
      <w:r>
        <w:t xml:space="preserve"> </w:t>
      </w:r>
      <w:r>
        <w:t xml:space="preserve">end to end.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What is not primary-verified</w:t>
            </w:r>
          </w:p>
        </w:tc>
        <w:tc>
          <w:tcPr/>
          <w:p>
            <w:pPr>
              <w:pStyle w:val="Compact"/>
            </w:pPr>
            <w:r>
              <w:t xml:space="preserve">What to do instead</w:t>
            </w:r>
          </w:p>
        </w:tc>
      </w:tr>
      <w:tr>
        <w:tc>
          <w:tcPr/>
          <w:p>
            <w:pPr>
              <w:pStyle w:val="Compact"/>
            </w:pPr>
            <w:r>
              <w:t xml:space="preserve">The audit baseline version and dates for the law-enforcement-data policy, which rest on secondary reporting that disagrees with itself</w:t>
            </w:r>
          </w:p>
        </w:tc>
        <w:tc>
          <w:tcPr/>
          <w:p>
            <w:pPr>
              <w:pStyle w:val="Compact"/>
            </w:pPr>
            <w:r>
              <w:t xml:space="preserve">Confirm with the authority that will actually audit, on the date it will happen</w:t>
            </w:r>
          </w:p>
        </w:tc>
      </w:tr>
      <w:tr>
        <w:tc>
          <w:tcPr/>
          <w:p>
            <w:pPr>
              <w:pStyle w:val="Compact"/>
            </w:pPr>
            <w:r>
              <w:t xml:space="preserve">The primary text of the July 2026 defense phase suspension, which was not readable</w:t>
            </w:r>
          </w:p>
        </w:tc>
        <w:tc>
          <w:tcPr/>
          <w:p>
            <w:pPr>
              <w:pStyle w:val="Compact"/>
            </w:pPr>
            <w:r>
              <w:t xml:space="preserve">Confirm with the contracting officer before acting on it</w:t>
            </w:r>
          </w:p>
        </w:tc>
      </w:tr>
      <w:tr>
        <w:tc>
          <w:tcPr/>
          <w:p>
            <w:pPr>
              <w:pStyle w:val="Compact"/>
            </w:pPr>
            <w:r>
              <w:t xml:space="preserve">Whether the class deviation pinning the safeguarding clause to an earlier revision is still standing. It has no stated expiry, but the deviation document itself was not readable</w:t>
            </w:r>
          </w:p>
        </w:tc>
        <w:tc>
          <w:tcPr/>
          <w:p>
            <w:pPr>
              <w:pStyle w:val="Compact"/>
            </w:pPr>
            <w:r>
              <w:t xml:space="preserve">Ask the contracting officer, and check the current consolidated class deviation listing</w:t>
            </w:r>
          </w:p>
        </w:tc>
      </w:tr>
      <w:tr>
        <w:tc>
          <w:tcPr/>
          <w:p>
            <w:pPr>
              <w:pStyle w:val="Compact"/>
            </w:pPr>
            <w:r>
              <w:t xml:space="preserve">The model version currently generating the published exploit-probability scores</w:t>
            </w:r>
          </w:p>
        </w:tc>
        <w:tc>
          <w:tcPr/>
          <w:p>
            <w:pPr>
              <w:pStyle w:val="Compact"/>
            </w:pPr>
            <w:r>
              <w:t xml:space="preserve">Read the comment line in the published data file, not a blog post</w:t>
            </w:r>
          </w:p>
        </w:tc>
      </w:tr>
      <w:tr>
        <w:tc>
          <w:tcPr/>
          <w:p>
            <w:pPr>
              <w:pStyle w:val="Compact"/>
            </w:pPr>
            <w:r>
              <w:t xml:space="preserve">The field-level changes in the 2026 SBOM minimum elements</w:t>
            </w:r>
          </w:p>
        </w:tc>
        <w:tc>
          <w:tcPr/>
          <w:p>
            <w:pPr>
              <w:pStyle w:val="Compact"/>
            </w:pPr>
            <w:r>
              <w:t xml:space="preserve">Read the document, which is freely published</w:t>
            </w:r>
          </w:p>
        </w:tc>
      </w:tr>
      <w:tr>
        <w:tc>
          <w:tcPr/>
          <w:p>
            <w:pPr>
              <w:pStyle w:val="Compact"/>
            </w:pPr>
            <w:r>
              <w:t xml:space="preserve">The ISO catalog entries, and any clause-level ISO content</w:t>
            </w:r>
          </w:p>
        </w:tc>
        <w:tc>
          <w:tcPr/>
          <w:p>
            <w:pPr>
              <w:pStyle w:val="Compact"/>
            </w:pPr>
            <w:r>
              <w:t xml:space="preserve">Nothing to do without buying the text: automated requests are refused and the content is paywalled</w:t>
            </w:r>
          </w:p>
        </w:tc>
      </w:tr>
      <w:tr>
        <w:tc>
          <w:tcPr/>
          <w:p>
            <w:pPr>
              <w:pStyle w:val="Compact"/>
            </w:pPr>
            <w:r>
              <w:t xml:space="preserve">Whether any rescission of the securities disclosure rules has been adopted since the petition</w:t>
            </w:r>
          </w:p>
        </w:tc>
        <w:tc>
          <w:tcPr/>
          <w:p>
            <w:pPr>
              <w:pStyle w:val="Compact"/>
            </w:pPr>
            <w:r>
              <w:t xml:space="preserve">The publisher's own site refused automated requests, so no page was read end to end. Check the rulemaking index and the adopting-release listing directly</w:t>
            </w:r>
          </w:p>
        </w:tc>
      </w:tr>
      <w:tr>
        <w:tc>
          <w:tcPr/>
          <w:p>
            <w:pPr>
              <w:pStyle w:val="Compact"/>
            </w:pPr>
            <w:r>
              <w:t xml:space="preserve">The final publication date of the current web application ranking</w:t>
            </w:r>
          </w:p>
        </w:tc>
        <w:tc>
          <w:tcPr/>
          <w:p>
            <w:pPr>
              <w:pStyle w:val="Compact"/>
            </w:pPr>
            <w:r>
              <w:t xml:space="preserve">Read the project's own edition page, which carries the edition as current without stamping a date</w:t>
            </w:r>
          </w:p>
        </w:tc>
      </w:tr>
      <w:tr>
        <w:tc>
          <w:tcPr/>
          <w:p>
            <w:pPr>
              <w:pStyle w:val="Compact"/>
            </w:pPr>
            <w:r>
              <w:t xml:space="preserve">The audit-transition date for certification bodies, which comes from one accreditation body</w:t>
            </w:r>
          </w:p>
        </w:tc>
        <w:tc>
          <w:tcPr/>
          <w:p>
            <w:pPr>
              <w:pStyle w:val="Compact"/>
            </w:pPr>
            <w:r>
              <w:t xml:space="preserve">Ask your own certification body which date applies to it</w:t>
            </w:r>
          </w:p>
        </w:tc>
      </w:tr>
      <w:tr>
        <w:tc>
          <w:tcPr/>
          <w:p>
            <w:pPr>
              <w:pStyle w:val="Compact"/>
            </w:pPr>
            <w:r>
              <w:t xml:space="preserve">Whether any agency has issued replacement software assurance terms since the January 2026 rescission</w:t>
            </w:r>
          </w:p>
        </w:tc>
        <w:tc>
          <w:tcPr/>
          <w:p>
            <w:pPr>
              <w:pStyle w:val="Compact"/>
            </w:pPr>
            <w:r>
              <w:t xml:space="preserve">Ask the agency and read the contract. Nobody has consolidated this publicly, and it is where the practical answer now lives</w:t>
            </w:r>
          </w:p>
        </w:tc>
      </w:tr>
      <w:tr>
        <w:tc>
          <w:tcPr/>
          <w:p>
            <w:pPr>
              <w:pStyle w:val="Compact"/>
            </w:pPr>
            <w:r>
              <w:t xml:space="preserve">The tier detail for the validated-assessment program, which rests on secondary sources</w:t>
            </w:r>
          </w:p>
        </w:tc>
        <w:tc>
          <w:tcPr/>
          <w:p>
            <w:pPr>
              <w:pStyle w:val="Compact"/>
            </w:pPr>
            <w:r>
              <w:t xml:space="preserve">Verify anything more specific than the tier names and the scope-variance point at the publisher</w:t>
            </w:r>
          </w:p>
        </w:tc>
      </w:tr>
      <w:tr>
        <w:tc>
          <w:tcPr/>
          <w:p>
            <w:pPr>
              <w:pStyle w:val="Compact"/>
            </w:pPr>
            <w:r>
              <w:t xml:space="preserve">The discrepancy between one cloud program's claim of recognition by another and that other program's own published outcome</w:t>
            </w:r>
          </w:p>
        </w:tc>
        <w:tc>
          <w:tcPr/>
          <w:p>
            <w:pPr>
              <w:pStyle w:val="Compact"/>
            </w:pPr>
            <w:r>
              <w:t xml:space="preserve">Left open rather than resolved. Read both programs' own notices before repeating either claim</w:t>
            </w:r>
          </w:p>
        </w:tc>
      </w:tr>
    </w:tbl>
    <w:p>
      <w:pPr>
        <w:pStyle w:val="BodyText"/>
      </w:pPr>
      <w:r>
        <w:rPr>
          <w:b/>
          <w:bCs/>
        </w:rPr>
        <w:t xml:space="preserve">At least these claims rest on secondary analysis rather than a primary source</w:t>
      </w:r>
      <w:r>
        <w:t xml:space="preserve">, each also marked in</w:t>
      </w:r>
      <w:r>
        <w:t xml:space="preserve"> </w:t>
      </w:r>
      <w:r>
        <w:t xml:space="preserve">its own cell: the suspension of the defense program phases beyond the first; the standing of the class</w:t>
      </w:r>
      <w:r>
        <w:t xml:space="preserve"> </w:t>
      </w:r>
      <w:r>
        <w:t xml:space="preserve">deviation that pins the safeguarding clause to an earlier revision; the audit baseline for the</w:t>
      </w:r>
      <w:r>
        <w:t xml:space="preserve"> </w:t>
      </w:r>
      <w:r>
        <w:t xml:space="preserve">law-enforcement-data policy; the certificate transition end date for the 2013 management-system</w:t>
      </w:r>
      <w:r>
        <w:t xml:space="preserve"> </w:t>
      </w:r>
      <w:r>
        <w:t xml:space="preserve">edition; the projected date for the pending sector-rule overhaul; the finalization date of the current</w:t>
      </w:r>
      <w:r>
        <w:t xml:space="preserve"> </w:t>
      </w:r>
      <w:r>
        <w:t xml:space="preserve">web application ranking; the tier detail for the validated-assessment program; and the model version</w:t>
      </w:r>
      <w:r>
        <w:t xml:space="preserve"> </w:t>
      </w:r>
      <w:r>
        <w:t xml:space="preserve">behind the published exploit-probability scores.</w:t>
      </w:r>
    </w:p>
    <w:p>
      <w:pPr>
        <w:pStyle w:val="BodyText"/>
      </w:pPr>
      <w:r>
        <w:t xml:space="preserve">Where a claim on this page could not be confirmed at a primary source it is listed above rather than</w:t>
      </w:r>
      <w:r>
        <w:t xml:space="preserve"> </w:t>
      </w:r>
      <w:r>
        <w:t xml:space="preserve">smoothed over, and the page prefers "at least these" to an enumeration everywhere it can.</w:t>
      </w:r>
    </w:p>
    <w:p>
      <w:r>
        <w:pict>
          <v:rect style="width:0;height:1.5pt" o:hralign="center" o:hrstd="t" o:hr="t"/>
        </w:pict>
      </w:r>
    </w:p>
    <w:bookmarkEnd w:id="34"/>
    <w:bookmarkStart w:id="43" w:name="sources-and-how-to-re-check-them"/>
    <w:p>
      <w:pPr>
        <w:pStyle w:val="Heading2"/>
      </w:pPr>
      <w:r>
        <w:t xml:space="preserve">Sources, and how to re-check them</w:t>
      </w:r>
    </w:p>
    <w:p>
      <w:pPr>
        <w:pStyle w:val="FirstParagraph"/>
      </w:pPr>
      <w:r>
        <w:t xml:space="preserve">A status is authoritative in at least these four places:</w:t>
      </w:r>
    </w:p>
    <w:p>
      <w:pPr>
        <w:pStyle w:val="Compact"/>
        <w:numPr>
          <w:ilvl w:val="0"/>
          <w:numId w:val="1003"/>
        </w:numPr>
      </w:pPr>
      <w:r>
        <w:rPr>
          <w:b/>
          <w:bCs/>
        </w:rPr>
        <w:t xml:space="preserve">The publisher's own publications listing</w:t>
      </w:r>
      <w:r>
        <w:t xml:space="preserve">, which shows Final, Draft, Withdrawn or Superseded</w:t>
      </w:r>
      <w:r>
        <w:t xml:space="preserve"> </w:t>
      </w:r>
      <w:r>
        <w:t xml:space="preserve">against a dated record. For the NIST items that is the</w:t>
      </w:r>
      <w:r>
        <w:t xml:space="preserve"> </w:t>
      </w:r>
      <w:hyperlink r:id="rId35">
        <w:r>
          <w:rPr>
            <w:rStyle w:val="Hyperlink"/>
          </w:rPr>
          <w:t xml:space="preserve">CSRC publication records</w:t>
        </w:r>
      </w:hyperlink>
      <w:r>
        <w:t xml:space="preserve">; for the EU items, the</w:t>
      </w:r>
      <w:r>
        <w:t xml:space="preserve"> </w:t>
      </w:r>
      <w:hyperlink r:id="rId36">
        <w:r>
          <w:rPr>
            <w:rStyle w:val="Hyperlink"/>
          </w:rPr>
          <w:t xml:space="preserve">Commission's own policy pages</w:t>
        </w:r>
      </w:hyperlink>
      <w:r>
        <w:t xml:space="preserve">;</w:t>
      </w:r>
      <w:r>
        <w:t xml:space="preserve"> </w:t>
      </w:r>
      <w:r>
        <w:t xml:space="preserve">for the US federal memoranda and rules, the issuing office and the</w:t>
      </w:r>
      <w:r>
        <w:t xml:space="preserve"> </w:t>
      </w:r>
      <w:hyperlink r:id="rId37">
        <w:r>
          <w:rPr>
            <w:rStyle w:val="Hyperlink"/>
          </w:rPr>
          <w:t xml:space="preserve">Federal Register</w:t>
        </w:r>
      </w:hyperlink>
      <w:r>
        <w:t xml:space="preserve">.</w:t>
      </w:r>
    </w:p>
    <w:p>
      <w:pPr>
        <w:pStyle w:val="Compact"/>
        <w:numPr>
          <w:ilvl w:val="0"/>
          <w:numId w:val="1003"/>
        </w:numPr>
      </w:pPr>
      <w:r>
        <w:rPr>
          <w:b/>
          <w:bCs/>
        </w:rPr>
        <w:t xml:space="preserve">The program's own definitions page</w:t>
      </w:r>
      <w:r>
        <w:t xml:space="preserve">, for anything whose vocabulary has moved. The</w:t>
      </w:r>
      <w:r>
        <w:t xml:space="preserve"> </w:t>
      </w:r>
      <w:hyperlink r:id="rId38">
        <w:r>
          <w:rPr>
            <w:rStyle w:val="Hyperlink"/>
          </w:rPr>
          <w:t xml:space="preserve">cloud program's definitions</w:t>
        </w:r>
      </w:hyperlink>
      <w:r>
        <w:t xml:space="preserve"> </w:t>
      </w:r>
      <w:r>
        <w:t xml:space="preserve">is the live example.</w:t>
      </w:r>
    </w:p>
    <w:p>
      <w:pPr>
        <w:pStyle w:val="Compact"/>
        <w:numPr>
          <w:ilvl w:val="0"/>
          <w:numId w:val="1003"/>
        </w:numPr>
      </w:pPr>
      <w:r>
        <w:rPr>
          <w:b/>
          <w:bCs/>
        </w:rPr>
        <w:t xml:space="preserve">The clause, plus any deviation that modifies it.</w:t>
      </w:r>
      <w:r>
        <w:t xml:space="preserve"> </w:t>
      </w:r>
      <w:r>
        <w:t xml:space="preserve">A publication database answers a different</w:t>
      </w:r>
      <w:r>
        <w:t xml:space="preserve"> </w:t>
      </w:r>
      <w:r>
        <w:t xml:space="preserve">question from the one your contract asks.</w:t>
      </w:r>
    </w:p>
    <w:p>
      <w:pPr>
        <w:pStyle w:val="Compact"/>
        <w:numPr>
          <w:ilvl w:val="0"/>
          <w:numId w:val="1003"/>
        </w:numPr>
      </w:pPr>
      <w:r>
        <w:rPr>
          <w:b/>
          <w:bCs/>
        </w:rPr>
        <w:t xml:space="preserve">The data file's own header</w:t>
      </w:r>
      <w:r>
        <w:t xml:space="preserve">, for a generated score. The published exploit-probability data</w:t>
      </w:r>
      <w:r>
        <w:t xml:space="preserve"> </w:t>
      </w:r>
      <w:r>
        <w:t xml:space="preserve">carries a comment line naming the generating model.</w:t>
      </w:r>
    </w:p>
    <w:p>
      <w:pPr>
        <w:pStyle w:val="FirstParagraph"/>
      </w:pPr>
      <w:r>
        <w:t xml:space="preserve">Where a status would otherwise be unverifiable, read the primary document: the</w:t>
      </w:r>
      <w:r>
        <w:t xml:space="preserve"> </w:t>
      </w:r>
      <w:hyperlink r:id="rId39">
        <w:r>
          <w:rPr>
            <w:rStyle w:val="Hyperlink"/>
          </w:rPr>
          <w:t xml:space="preserve">January 2026 memorandum that rescinded the federal attestation mandate</w:t>
        </w:r>
      </w:hyperlink>
      <w:r>
        <w:t xml:space="preserve">,</w:t>
      </w:r>
      <w:r>
        <w:t xml:space="preserve"> </w:t>
      </w:r>
      <w:r>
        <w:t xml:space="preserve">the</w:t>
      </w:r>
      <w:r>
        <w:t xml:space="preserve"> </w:t>
      </w:r>
      <w:hyperlink r:id="rId40">
        <w:r>
          <w:rPr>
            <w:rStyle w:val="Hyperlink"/>
          </w:rPr>
          <w:t xml:space="preserve">2026 SBOM minimum elements</w:t>
        </w:r>
      </w:hyperlink>
      <w:r>
        <w:t xml:space="preserve">,</w:t>
      </w:r>
      <w:r>
        <w:t xml:space="preserve"> </w:t>
      </w:r>
      <w:r>
        <w:t xml:space="preserve">the</w:t>
      </w:r>
      <w:r>
        <w:t xml:space="preserve"> </w:t>
      </w:r>
      <w:hyperlink r:id="rId41">
        <w:r>
          <w:rPr>
            <w:rStyle w:val="Hyperlink"/>
          </w:rPr>
          <w:t xml:space="preserve">SSDF publication listing</w:t>
        </w:r>
      </w:hyperlink>
      <w:r>
        <w:t xml:space="preserve">, and the</w:t>
      </w:r>
      <w:r>
        <w:t xml:space="preserve"> </w:t>
      </w:r>
      <w:hyperlink r:id="rId42">
        <w:r>
          <w:rPr>
            <w:rStyle w:val="Hyperlink"/>
          </w:rPr>
          <w:t xml:space="preserve">build and source track specifications</w:t>
        </w:r>
      </w:hyperlink>
      <w:r>
        <w:t xml:space="preserve">.</w:t>
      </w:r>
    </w:p>
    <w:p>
      <w:r>
        <w:pict>
          <v:rect style="width:0;height:1.5pt" o:hralign="center" o:hrstd="t" o:hr="t"/>
        </w:pict>
      </w:r>
    </w:p>
    <w:bookmarkEnd w:id="43"/>
    <w:bookmarkStart w:id="48" w:name="related-pages-on-this-site"/>
    <w:p>
      <w:pPr>
        <w:pStyle w:val="Heading2"/>
      </w:pPr>
      <w:r>
        <w:t xml:space="preserve">Related pages on this site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If you need</w:t>
            </w:r>
          </w:p>
        </w:tc>
        <w:tc>
          <w:tcPr/>
          <w:p>
            <w:pPr>
              <w:pStyle w:val="Compact"/>
            </w:pPr>
            <w:r>
              <w:t xml:space="preserve">Read</w:t>
            </w:r>
          </w:p>
        </w:tc>
      </w:tr>
      <w:tr>
        <w:tc>
          <w:tcPr/>
          <w:p>
            <w:pPr>
              <w:pStyle w:val="Compact"/>
            </w:pPr>
            <w:r>
              <w:t xml:space="preserve">Which of these is even worth your attention, routed by situation</w:t>
            </w:r>
          </w:p>
        </w:tc>
        <w:tc>
          <w:tcPr/>
          <w:p>
            <w:pPr>
              <w:pStyle w:val="Compact"/>
            </w:pPr>
            <w:hyperlink r:id="rId9">
              <w:r>
                <w:rPr>
                  <w:rStyle w:val="Hyperlink"/>
                </w:rPr>
                <w:t xml:space="preserve">Which standards apply to you</w:t>
              </w:r>
            </w:hyperlink>
          </w:p>
        </w:tc>
      </w:tr>
      <w:tr>
        <w:tc>
          <w:tcPr/>
          <w:p>
            <w:pPr>
              <w:pStyle w:val="Compact"/>
            </w:pPr>
            <w:r>
              <w:t xml:space="preserve">What a buyer will ask you for, and what each artifact actually proves</w:t>
            </w:r>
          </w:p>
        </w:tc>
        <w:tc>
          <w:tcPr/>
          <w:p>
            <w:pPr>
              <w:pStyle w:val="Compact"/>
            </w:pPr>
            <w:hyperlink r:id="rId44">
              <w:r>
                <w:rPr>
                  <w:rStyle w:val="Hyperlink"/>
                </w:rPr>
                <w:t xml:space="preserve">What to have ready when a buyer asks</w:t>
              </w:r>
            </w:hyperlink>
          </w:p>
        </w:tc>
      </w:tr>
      <w:tr>
        <w:tc>
          <w:tcPr/>
          <w:p>
            <w:pPr>
              <w:pStyle w:val="Compact"/>
            </w:pPr>
            <w:r>
              <w:t xml:space="preserve">Whether your teams already do this</w:t>
            </w:r>
          </w:p>
        </w:tc>
        <w:tc>
          <w:tcPr/>
          <w:p>
            <w:pPr>
              <w:pStyle w:val="Compact"/>
            </w:pPr>
            <w:hyperlink r:id="rId45">
              <w:r>
                <w:rPr>
                  <w:rStyle w:val="Hyperlink"/>
                </w:rPr>
                <w:t xml:space="preserve">The CISO summary</w:t>
              </w:r>
            </w:hyperlink>
          </w:p>
        </w:tc>
      </w:tr>
      <w:tr>
        <w:tc>
          <w:tcPr/>
          <w:p>
            <w:pPr>
              <w:pStyle w:val="Compact"/>
            </w:pPr>
            <w:r>
              <w:t xml:space="preserve">The control set for AI-assisted work</w:t>
            </w:r>
          </w:p>
        </w:tc>
        <w:tc>
          <w:tcPr/>
          <w:p>
            <w:pPr>
              <w:pStyle w:val="Compact"/>
            </w:pPr>
            <w:hyperlink r:id="rId46">
              <w:r>
                <w:rPr>
                  <w:rStyle w:val="Hyperlink"/>
                </w:rPr>
                <w:t xml:space="preserve">AI-assisted development</w:t>
              </w:r>
            </w:hyperlink>
          </w:p>
        </w:tc>
      </w:tr>
      <w:tr>
        <w:tc>
          <w:tcPr/>
          <w:p>
            <w:pPr>
              <w:pStyle w:val="Compact"/>
            </w:pPr>
            <w:r>
              <w:t xml:space="preserve">The process a build must satisfy, and who owns which control</w:t>
            </w:r>
          </w:p>
        </w:tc>
        <w:tc>
          <w:tcPr/>
          <w:p>
            <w:pPr>
              <w:pStyle w:val="Compact"/>
            </w:pPr>
            <w:hyperlink r:id="rId23">
              <w:r>
                <w:rPr>
                  <w:rStyle w:val="Hyperlink"/>
                </w:rPr>
                <w:t xml:space="preserve">Secure development</w:t>
              </w:r>
            </w:hyperlink>
          </w:p>
        </w:tc>
      </w:tr>
      <w:tr>
        <w:tc>
          <w:tcPr/>
          <w:p>
            <w:pPr>
              <w:pStyle w:val="Compact"/>
            </w:pPr>
            <w:r>
              <w:t xml:space="preserve">Trusting code you did not write, and controlling what you publish</w:t>
            </w:r>
          </w:p>
        </w:tc>
        <w:tc>
          <w:tcPr/>
          <w:p>
            <w:pPr>
              <w:pStyle w:val="Compact"/>
            </w:pPr>
            <w:hyperlink r:id="rId17">
              <w:r>
                <w:rPr>
                  <w:rStyle w:val="Hyperlink"/>
                </w:rPr>
                <w:t xml:space="preserve">Dependency integrity</w:t>
              </w:r>
            </w:hyperlink>
          </w:p>
        </w:tc>
      </w:tr>
      <w:tr>
        <w:tc>
          <w:tcPr/>
          <w:p>
            <w:pPr>
              <w:pStyle w:val="Compact"/>
            </w:pPr>
            <w:r>
              <w:t xml:space="preserve">Running an assessment against a standard with several hundred requirements</w:t>
            </w:r>
          </w:p>
        </w:tc>
        <w:tc>
          <w:tcPr/>
          <w:p>
            <w:pPr>
              <w:pStyle w:val="Compact"/>
            </w:pPr>
            <w:hyperlink r:id="rId32">
              <w:r>
                <w:rPr>
                  <w:rStyle w:val="Hyperlink"/>
                </w:rPr>
                <w:t xml:space="preserve">Use OWASP ASVS 5.0</w:t>
              </w:r>
            </w:hyperlink>
          </w:p>
        </w:tc>
      </w:tr>
      <w:tr>
        <w:tc>
          <w:tcPr/>
          <w:p>
            <w:pPr>
              <w:pStyle w:val="Compact"/>
            </w:pPr>
            <w:r>
              <w:t xml:space="preserve">All of it, and how to adopt</w:t>
            </w:r>
          </w:p>
        </w:tc>
        <w:tc>
          <w:tcPr/>
          <w:p>
            <w:pPr>
              <w:pStyle w:val="Compact"/>
            </w:pPr>
            <w:hyperlink r:id="rId47">
              <w:r>
                <w:rPr>
                  <w:rStyle w:val="Hyperlink"/>
                </w:rPr>
                <w:t xml:space="preserve">Overview</w:t>
              </w:r>
            </w:hyperlink>
          </w:p>
        </w:tc>
      </w:tr>
    </w:tbl>
    <w:p>
      <w:r>
        <w:pict>
          <v:rect style="width:0;height:1.5pt" o:hralign="center" o:hrstd="t" o:hr="t"/>
        </w:pict>
      </w:r>
    </w:p>
    <w:p>
      <w:pPr>
        <w:pStyle w:val="FirstParagraph"/>
      </w:pPr>
      <w:r>
        <w:rPr>
          <w:b/>
          <w:bCs/>
        </w:rPr>
        <w:t xml:space="preserve">MIT licensed.</w:t>
      </w:r>
      <w:r>
        <w:t xml:space="preserve"> </w:t>
      </w:r>
      <w:r>
        <w:t xml:space="preserve">Adapt this, put your own name on it, and delete anything you cannot stand behind.</w:t>
      </w:r>
      <w:r>
        <w:t xml:space="preserve"> </w:t>
      </w:r>
      <w:r>
        <w:t xml:space="preserve">Re-date it when you do: a status claim inherits the date it was checked, not the date it was copied.</w:t>
      </w:r>
    </w:p>
    <w:bookmarkEnd w:id="48"/>
    <w:bookmarkEnd w:id="4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2" Target="../ASVS-ASSESSMENT.md" TargetMode="External" /><Relationship Type="http://schemas.openxmlformats.org/officeDocument/2006/relationships/hyperlink" Id="rId46" Target="AI-ASSISTED-DEVELOPMENT.md" TargetMode="External" /><Relationship Type="http://schemas.openxmlformats.org/officeDocument/2006/relationships/hyperlink" Id="rId45" Target="CISO-SUMMARY.md" TargetMode="External" /><Relationship Type="http://schemas.openxmlformats.org/officeDocument/2006/relationships/hyperlink" Id="rId27" Target="CODE-QUALITY.md" TargetMode="External" /><Relationship Type="http://schemas.openxmlformats.org/officeDocument/2006/relationships/hyperlink" Id="rId17" Target="DEPENDENCY-INTEGRITY.md" TargetMode="External" /><Relationship Type="http://schemas.openxmlformats.org/officeDocument/2006/relationships/hyperlink" Id="rId44" Target="DILIGENCE-PACKET.md" TargetMode="External" /><Relationship Type="http://schemas.openxmlformats.org/officeDocument/2006/relationships/hyperlink" Id="rId47" Target="OVERVIEW.md" TargetMode="External" /><Relationship Type="http://schemas.openxmlformats.org/officeDocument/2006/relationships/hyperlink" Id="rId12" Target="OVERVIEW.md#the-files" TargetMode="External" /><Relationship Type="http://schemas.openxmlformats.org/officeDocument/2006/relationships/hyperlink" Id="rId23" Target="SECURE-DEVELOPMENT.md" TargetMode="External" /><Relationship Type="http://schemas.openxmlformats.org/officeDocument/2006/relationships/hyperlink" Id="rId9" Target="WHICH-STANDARDS-APPLY.md" TargetMode="External" /><Relationship Type="http://schemas.openxmlformats.org/officeDocument/2006/relationships/hyperlink" Id="rId41" Target="https://csrc.nist.gov/Projects/ssdf/publications" TargetMode="External" /><Relationship Type="http://schemas.openxmlformats.org/officeDocument/2006/relationships/hyperlink" Id="rId35" Target="https://csrc.nist.gov/publications" TargetMode="External" /><Relationship Type="http://schemas.openxmlformats.org/officeDocument/2006/relationships/hyperlink" Id="rId36" Target="https://digital-strategy.ec.europa.eu/en/policies/cyber-resilience-act" TargetMode="External" /><Relationship Type="http://schemas.openxmlformats.org/officeDocument/2006/relationships/hyperlink" Id="rId10" Target="https://secure-development-standards.pages.dev/standards/STANDARDS-REFERENCE.md" TargetMode="External" /><Relationship Type="http://schemas.openxmlformats.org/officeDocument/2006/relationships/hyperlink" Id="rId14" Target="https://secure-development-standards.pages.dev/standards/WHICH-STANDARDS-APPLY.html#what-this-page-did-not-assess" TargetMode="External" /><Relationship Type="http://schemas.openxmlformats.org/officeDocument/2006/relationships/hyperlink" Id="rId11" Target="https://secure-development-standards.pages.dev/standards/word/STANDARDS-REFERENCE.docx" TargetMode="External" /><Relationship Type="http://schemas.openxmlformats.org/officeDocument/2006/relationships/hyperlink" Id="rId42" Target="https://slsa.dev/spec/v1.2/build-requirements" TargetMode="External" /><Relationship Type="http://schemas.openxmlformats.org/officeDocument/2006/relationships/hyperlink" Id="rId40" Target="https://www.cisa.gov/resources-tools/resources/2026-minimum-elements-software-bill-materials-sbom" TargetMode="External" /><Relationship Type="http://schemas.openxmlformats.org/officeDocument/2006/relationships/hyperlink" Id="rId37" Target="https://www.federalregister.gov/" TargetMode="External" /><Relationship Type="http://schemas.openxmlformats.org/officeDocument/2006/relationships/hyperlink" Id="rId38" Target="https://www.fedramp.gov/2026/definitions/" TargetMode="External" /><Relationship Type="http://schemas.openxmlformats.org/officeDocument/2006/relationships/hyperlink" Id="rId39" Target="https://www.whitehouse.gov/wp-content/uploads/2026/01/M-26-05-Adopting-a-Risk-based-Approach-to-Software-and-Hardware-Security.pdf" TargetMode="External" /></Relationships>
</file>

<file path=word/_rels/footnotes.xml.rels><?xml version="1.0" encoding="UTF-8"?><Relationships xmlns="http://schemas.openxmlformats.org/package/2006/relationships"><Relationship Type="http://schemas.openxmlformats.org/officeDocument/2006/relationships/hyperlink" Id="rId32" Target="../ASVS-ASSESSMENT.md" TargetMode="External" /><Relationship Type="http://schemas.openxmlformats.org/officeDocument/2006/relationships/hyperlink" Id="rId46" Target="AI-ASSISTED-DEVELOPMENT.md" TargetMode="External" /><Relationship Type="http://schemas.openxmlformats.org/officeDocument/2006/relationships/hyperlink" Id="rId45" Target="CISO-SUMMARY.md" TargetMode="External" /><Relationship Type="http://schemas.openxmlformats.org/officeDocument/2006/relationships/hyperlink" Id="rId27" Target="CODE-QUALITY.md" TargetMode="External" /><Relationship Type="http://schemas.openxmlformats.org/officeDocument/2006/relationships/hyperlink" Id="rId17" Target="DEPENDENCY-INTEGRITY.md" TargetMode="External" /><Relationship Type="http://schemas.openxmlformats.org/officeDocument/2006/relationships/hyperlink" Id="rId44" Target="DILIGENCE-PACKET.md" TargetMode="External" /><Relationship Type="http://schemas.openxmlformats.org/officeDocument/2006/relationships/hyperlink" Id="rId47" Target="OVERVIEW.md" TargetMode="External" /><Relationship Type="http://schemas.openxmlformats.org/officeDocument/2006/relationships/hyperlink" Id="rId12" Target="OVERVIEW.md#the-files" TargetMode="External" /><Relationship Type="http://schemas.openxmlformats.org/officeDocument/2006/relationships/hyperlink" Id="rId23" Target="SECURE-DEVELOPMENT.md" TargetMode="External" /><Relationship Type="http://schemas.openxmlformats.org/officeDocument/2006/relationships/hyperlink" Id="rId9" Target="WHICH-STANDARDS-APPLY.md" TargetMode="External" /><Relationship Type="http://schemas.openxmlformats.org/officeDocument/2006/relationships/hyperlink" Id="rId41" Target="https://csrc.nist.gov/Projects/ssdf/publications" TargetMode="External" /><Relationship Type="http://schemas.openxmlformats.org/officeDocument/2006/relationships/hyperlink" Id="rId35" Target="https://csrc.nist.gov/publications" TargetMode="External" /><Relationship Type="http://schemas.openxmlformats.org/officeDocument/2006/relationships/hyperlink" Id="rId36" Target="https://digital-strategy.ec.europa.eu/en/policies/cyber-resilience-act" TargetMode="External" /><Relationship Type="http://schemas.openxmlformats.org/officeDocument/2006/relationships/hyperlink" Id="rId10" Target="https://secure-development-standards.pages.dev/standards/STANDARDS-REFERENCE.md" TargetMode="External" /><Relationship Type="http://schemas.openxmlformats.org/officeDocument/2006/relationships/hyperlink" Id="rId14" Target="https://secure-development-standards.pages.dev/standards/WHICH-STANDARDS-APPLY.html#what-this-page-did-not-assess" TargetMode="External" /><Relationship Type="http://schemas.openxmlformats.org/officeDocument/2006/relationships/hyperlink" Id="rId11" Target="https://secure-development-standards.pages.dev/standards/word/STANDARDS-REFERENCE.docx" TargetMode="External" /><Relationship Type="http://schemas.openxmlformats.org/officeDocument/2006/relationships/hyperlink" Id="rId42" Target="https://slsa.dev/spec/v1.2/build-requirements" TargetMode="External" /><Relationship Type="http://schemas.openxmlformats.org/officeDocument/2006/relationships/hyperlink" Id="rId40" Target="https://www.cisa.gov/resources-tools/resources/2026-minimum-elements-software-bill-materials-sbom" TargetMode="External" /><Relationship Type="http://schemas.openxmlformats.org/officeDocument/2006/relationships/hyperlink" Id="rId37" Target="https://www.federalregister.gov/" TargetMode="External" /><Relationship Type="http://schemas.openxmlformats.org/officeDocument/2006/relationships/hyperlink" Id="rId38" Target="https://www.fedramp.gov/2026/definitions/" TargetMode="External" /><Relationship Type="http://schemas.openxmlformats.org/officeDocument/2006/relationships/hyperlink" Id="rId39" Target="https://www.whitehouse.gov/wp-content/uploads/2026/01/M-26-05-Adopting-a-Risk-based-Approach-to-Software-and-Hardware-Security.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2026-08-10T23:37:41Z</dcterms:created>
  <dcterms:modified xsi:type="dcterms:W3CDTF">2026-08-10T23:37:41Z</dcterms:modified>
</cp:coreProperties>
</file>

<file path=docProps/custom.xml><?xml version="1.0" encoding="utf-8"?>
<Properties xmlns="http://schemas.openxmlformats.org/officeDocument/2006/custom-properties" xmlns:vt="http://schemas.openxmlformats.org/officeDocument/2006/docPropsVTypes"/>
</file>