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7" w:name="X80c3b73d1b8afdbe491c6b8b2979a6a303b898f"/>
    <w:p>
      <w:pPr>
        <w:pStyle w:val="Heading1"/>
      </w:pPr>
      <w:r>
        <w:t xml:space="preserve">What to have ready when a buyer asks, and what each artifact proves</w:t>
      </w:r>
    </w:p>
    <w:p>
      <w:pPr>
        <w:pStyle w:val="FirstParagraph"/>
      </w:pPr>
      <w:r>
        <w:rPr>
          <w:b/>
          <w:bCs/>
        </w:rPr>
        <w:t xml:space="preserve">Every serious buyer asks for the same small, predictable set of documents. Have them on the shelf</w:t>
      </w:r>
      <w:r>
        <w:rPr>
          <w:b/>
          <w:bCs/>
        </w:rPr>
        <w:t xml:space="preserve"> </w:t>
      </w:r>
      <w:r>
        <w:rPr>
          <w:b/>
          <w:bCs/>
        </w:rPr>
        <w:t xml:space="preserve">before the first call, and know for each one the claim it carries and the claim it does not.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What to have ready when a buyer asks for security evidence, sorted by layer: your</w:t>
      </w:r>
      <w:r>
        <w:t xml:space="preserve"> </w:t>
      </w:r>
      <w:r>
        <w:t xml:space="preserve">company, your software, and the contract.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The commonest vendor mistake is offering an audit report or a certificate as an</w:t>
      </w:r>
      <w:r>
        <w:t xml:space="preserve"> </w:t>
      </w:r>
      <w:r>
        <w:t xml:space="preserve">answer about the product. Those instruments never open your code. You can hold a clean twelve-month</w:t>
      </w:r>
      <w:r>
        <w:t xml:space="preserve"> </w:t>
      </w:r>
      <w:r>
        <w:t xml:space="preserve">report, ship software with an authorization flaw, and have said nothing false. Offer it as product</w:t>
      </w:r>
      <w:r>
        <w:t xml:space="preserve"> </w:t>
      </w:r>
      <w:r>
        <w:t xml:space="preserve">evidence and you have said something false.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Three artifacts before the first call, each of which is a document, a date or</w:t>
      </w:r>
      <w:r>
        <w:t xml:space="preserve"> </w:t>
      </w:r>
      <w:r>
        <w:t xml:space="preserve">a name. None can be answered with an adjective, and a buyer who accepts one is not the buyer whose</w:t>
      </w:r>
      <w:r>
        <w:t xml:space="preserve"> </w:t>
      </w:r>
      <w:r>
        <w:t xml:space="preserve">approval is worth having.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as legal advice. Nothing here has been reviewed by counsel, and</w:t>
      </w:r>
      <w:r>
        <w:t xml:space="preserve"> </w:t>
      </w:r>
      <w:hyperlink w:anchor="what-this-page-does-not-do">
        <w:r>
          <w:rPr>
            <w:rStyle w:val="Hyperlink"/>
          </w:rPr>
          <w:t xml:space="preserve">what this page does not do</w:t>
        </w:r>
      </w:hyperlink>
      <w:r>
        <w:t xml:space="preserve"> </w:t>
      </w:r>
      <w:r>
        <w:t xml:space="preserve">marks the rest of the boundary.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hyperlink w:anchor="the-three-things-to-have-ready">
        <w:r>
          <w:rPr>
            <w:rStyle w:val="Hyperlink"/>
          </w:rPr>
          <w:t xml:space="preserve">The three things to have ready</w:t>
        </w:r>
      </w:hyperlink>
      <w:r>
        <w:t xml:space="preserve">, before the</w:t>
      </w:r>
      <w:r>
        <w:t xml:space="preserve"> </w:t>
      </w:r>
      <w:r>
        <w:t xml:space="preserve">first call rather than during it.</w:t>
      </w:r>
    </w:p>
    <w:p>
      <w:r>
        <w:pict>
          <v:rect style="width:0;height:1.5pt" o:hralign="center" o:hrstd="t" o:hr="t"/>
        </w:pict>
      </w:r>
    </w:p>
    <w:bookmarkEnd w:id="12"/>
    <w:bookmarkStart w:id="13" w:name="the-three-things-to-have-ready"/>
    <w:p>
      <w:pPr>
        <w:pStyle w:val="Heading2"/>
      </w:pPr>
      <w:r>
        <w:t xml:space="preserve">The three things to have ready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scope statement</w:t>
      </w:r>
      <w:r>
        <w:t xml:space="preserve"> </w:t>
      </w:r>
      <w:r>
        <w:t xml:space="preserve">of whatever organization-layer instrument you hold. Not the certificate,</w:t>
      </w:r>
      <w:r>
        <w:t xml:space="preserve"> </w:t>
      </w:r>
      <w:r>
        <w:t xml:space="preserve">not the cover page. It alone decides whether the thing being bought was inside the examination,</w:t>
      </w:r>
      <w:r>
        <w:t xml:space="preserve"> </w:t>
      </w:r>
      <w:r>
        <w:t xml:space="preserve">and for software you distribute rather than host, the answer is frequently no. Say so yourself: a</w:t>
      </w:r>
      <w:r>
        <w:t xml:space="preserve"> </w:t>
      </w:r>
      <w:r>
        <w:t xml:space="preserve">paragraph now costs less than a deal later.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SBOM of what the buyer will actually run.</w:t>
      </w:r>
      <w:r>
        <w:t xml:space="preserve"> </w:t>
      </w:r>
      <w:r>
        <w:t xml:space="preserve">For an installed product that is the released</w:t>
      </w:r>
      <w:r>
        <w:t xml:space="preserve"> </w:t>
      </w:r>
      <w:r>
        <w:t xml:space="preserve">artifact; for a hosted service, the runtime production environment. Generate it from the build --</w:t>
      </w:r>
      <w:r>
        <w:t xml:space="preserve"> </w:t>
      </w:r>
      <w:r>
        <w:t xml:space="preserve">a hand-maintained list is a document about your intentions.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Two dates and a name:</w:t>
      </w:r>
      <w:r>
        <w:t xml:space="preserve"> </w:t>
      </w:r>
      <w:r>
        <w:t xml:space="preserve">your last dynamic test, your last incident response exercise, and who</w:t>
      </w:r>
      <w:r>
        <w:t xml:space="preserve"> </w:t>
      </w:r>
      <w:r>
        <w:t xml:space="preserve">ran the test. Both dates are trivial to supply if they happened and impossible to produce</w:t>
      </w:r>
      <w:r>
        <w:t xml:space="preserve"> </w:t>
      </w:r>
      <w:r>
        <w:t xml:space="preserve">retrospectively, which is why they are asked for. The name decides whether you are offering an</w:t>
      </w:r>
      <w:r>
        <w:t xml:space="preserve"> </w:t>
      </w:r>
      <w:r>
        <w:t xml:space="preserve">independent look or your own tooling's output.</w:t>
      </w:r>
    </w:p>
    <w:p>
      <w:r>
        <w:pict>
          <v:rect style="width:0;height:1.5pt" o:hralign="center" o:hrstd="t" o:hr="t"/>
        </w:pict>
      </w:r>
    </w:p>
    <w:bookmarkEnd w:id="13"/>
    <w:bookmarkStart w:id="15" w:name="X9820556d3e58e6931f3b9587970abdcbae35f14"/>
    <w:p>
      <w:pPr>
        <w:pStyle w:val="Heading2"/>
      </w:pPr>
      <w:r>
        <w:t xml:space="preserve">The organization layer is worth having; the failure is narrower</w:t>
      </w:r>
    </w:p>
    <w:p>
      <w:pPr>
        <w:pStyle w:val="FirstParagraph"/>
      </w:pPr>
      <w:r>
        <w:t xml:space="preserve">None of this is a reason to skip these instruments. That somebody outside the company examined how</w:t>
      </w:r>
      <w:r>
        <w:t xml:space="preserve"> </w:t>
      </w:r>
      <w:r>
        <w:t xml:space="preserve">you govern yourself, grant access and manage change is worth establishing, and a vendor holding none</w:t>
      </w:r>
      <w:r>
        <w:t xml:space="preserve"> </w:t>
      </w:r>
      <w:r>
        <w:t xml:space="preserve">is a different risk entirely. The failure is narrower: letting a program attestation stand as an</w:t>
      </w:r>
      <w:r>
        <w:t xml:space="preserve"> </w:t>
      </w:r>
      <w:r>
        <w:t xml:space="preserve">answer to "is this product secure", when no part of it asked that.</w:t>
      </w:r>
    </w:p>
    <w:p>
      <w:pPr>
        <w:pStyle w:val="BodyText"/>
      </w:pPr>
      <w:r>
        <w:t xml:space="preserve">Statuses, versions and dates live on the reference page, each carrying the date it was checked. The</w:t>
      </w:r>
      <w:r>
        <w:t xml:space="preserve"> </w:t>
      </w:r>
      <w:r>
        <w:t xml:space="preserve">same cut, as a rule you can hold your own process to, is</w:t>
      </w:r>
      <w:r>
        <w:t xml:space="preserve"> </w:t>
      </w:r>
      <w:hyperlink r:id="rId14">
        <w:r>
          <w:rPr>
            <w:rStyle w:val="Hyperlink"/>
          </w:rPr>
          <w:t xml:space="preserve">the organization layer is not the software layer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6" w:name="Xd0788155b9cd6a69def89aded25881d2012bf98"/>
    <w:p>
      <w:pPr>
        <w:pStyle w:val="Heading2"/>
      </w:pPr>
      <w:r>
        <w:t xml:space="preserve">Organization layer: evidence about your company</w:t>
      </w:r>
    </w:p>
    <w:p>
      <w:pPr>
        <w:pStyle w:val="FirstParagraph"/>
      </w:pPr>
      <w:r>
        <w:t xml:space="preserve">Procurement already knows how to ask for these. Most are issued by someone other than you, which is</w:t>
      </w:r>
      <w:r>
        <w:t xml:space="preserve"> </w:t>
      </w:r>
      <w:r>
        <w:t xml:space="preserve">where their weight comes from -- and none of that weight is about your product. One caveat governs</w:t>
      </w:r>
      <w:r>
        <w:t xml:space="preserve"> </w:t>
      </w:r>
      <w:r>
        <w:t xml:space="preserve">the group: an examination or a certification has a boundary, and software you distribute frequently</w:t>
      </w:r>
      <w:r>
        <w:t xml:space="preserve"> </w:t>
      </w:r>
      <w:r>
        <w:t xml:space="preserve">falls outside it. That boundary appears in the scope statement and nowhere else, so the scope</w:t>
      </w:r>
      <w:r>
        <w:t xml:space="preserve"> </w:t>
      </w:r>
      <w:r>
        <w:t xml:space="preserve">statement is the part to have ready.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SOC 2 Type I</w:t>
            </w:r>
            <w:r>
              <w:t xml:space="preserve"> </w:t>
            </w:r>
            <w:r>
              <w:t xml:space="preserve">-- an examination report, point-in-time</w:t>
            </w:r>
          </w:p>
        </w:tc>
        <w:tc>
          <w:tcPr/>
          <w:p>
            <w:pPr>
              <w:pStyle w:val="Compact"/>
            </w:pPr>
            <w:r>
              <w:t xml:space="preserve">A licensed firm's opinion that your controls were suitably designed as of one date</w:t>
            </w:r>
          </w:p>
        </w:tc>
        <w:tc>
          <w:tcPr/>
          <w:p>
            <w:pPr>
              <w:pStyle w:val="Compact"/>
            </w:pPr>
            <w:r>
              <w:t xml:space="preserve">That any control ever operated. It observed a design, not a period of behavior, and it looked at your organization rather than your code</w:t>
            </w:r>
          </w:p>
        </w:tc>
        <w:tc>
          <w:tcPr/>
          <w:p>
            <w:pPr>
              <w:pStyle w:val="Compact"/>
            </w:pPr>
            <w:r>
              <w:t xml:space="preserve">Why Type I rather than Type II, and the date the first Type II period ends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SOC 2 Type II</w:t>
            </w:r>
            <w:r>
              <w:t xml:space="preserve"> </w:t>
            </w:r>
            <w:r>
              <w:t xml:space="preserve">-- an examination report over a period</w:t>
            </w:r>
          </w:p>
        </w:tc>
        <w:tc>
          <w:tcPr/>
          <w:p>
            <w:pPr>
              <w:pStyle w:val="Compact"/>
            </w:pPr>
            <w:r>
              <w:t xml:space="preserve">A licensed firm's opinion on operating effectiveness across a period, typically six to twelve months, against the Trust Services Criteria you elected</w:t>
            </w:r>
          </w:p>
        </w:tc>
        <w:tc>
          <w:tcPr/>
          <w:p>
            <w:pPr>
              <w:pStyle w:val="Compact"/>
            </w:pPr>
            <w:r>
              <w:t xml:space="preserve">That your distributed software was examined; it commonly sits outside the scope boundary. The report is an attestation, not a certificate -- there is no pass mark to claim</w:t>
            </w:r>
          </w:p>
        </w:tc>
        <w:tc>
          <w:tcPr/>
          <w:p>
            <w:pPr>
              <w:pStyle w:val="Compact"/>
            </w:pPr>
            <w:r>
              <w:t xml:space="preserve">What the scope covered, and every exception the firm listed, offered rather than waited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ISO/IEC 27001</w:t>
            </w:r>
            <w:r>
              <w:t xml:space="preserve"> </w:t>
            </w:r>
            <w:r>
              <w:t xml:space="preserve">-- a management-system certificate</w:t>
            </w:r>
          </w:p>
        </w:tc>
        <w:tc>
          <w:tcPr/>
          <w:p>
            <w:pPr>
              <w:pStyle w:val="Compact"/>
            </w:pPr>
            <w:r>
              <w:t xml:space="preserve">That an accredited certification body certified your information security management system for a stated scope</w:t>
            </w:r>
          </w:p>
        </w:tc>
        <w:tc>
          <w:tcPr/>
          <w:p>
            <w:pPr>
              <w:pStyle w:val="Compact"/>
            </w:pPr>
            <w:r>
              <w:t xml:space="preserve">That your product was certified. It is not "the international SOC 2" -- that instrument is an opinion plus exceptions, this one a certificate plus a scope statement</w:t>
            </w:r>
          </w:p>
        </w:tc>
        <w:tc>
          <w:tcPr/>
          <w:p>
            <w:pPr>
              <w:pStyle w:val="Compact"/>
            </w:pPr>
            <w:r>
              <w:t xml:space="preserve">The scope printed on the certificate, and who accredited the body that issued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HITRUST CSF</w:t>
            </w:r>
            <w:r>
              <w:t xml:space="preserve"> </w:t>
            </w:r>
            <w:r>
              <w:t xml:space="preserve">-- a validated assessment of controls and environment</w:t>
            </w:r>
          </w:p>
        </w:tc>
        <w:tc>
          <w:tcPr/>
          <w:p>
            <w:pPr>
              <w:pStyle w:val="Compact"/>
            </w:pPr>
            <w:r>
              <w:t xml:space="preserve">A third-party validated result at one of three named tiers -- e1, i1 and r2 -- which are not interchangeable</w:t>
            </w:r>
          </w:p>
        </w:tc>
        <w:tc>
          <w:tcPr/>
          <w:p>
            <w:pPr>
              <w:pStyle w:val="Compact"/>
            </w:pPr>
            <w:r>
              <w:t xml:space="preserve">That your distributable software was assessed. What is assessed is your controls and environment, which can include the environment operating the software</w:t>
            </w:r>
          </w:p>
        </w:tc>
        <w:tc>
          <w:tcPr/>
          <w:p>
            <w:pPr>
              <w:pStyle w:val="Compact"/>
            </w:pPr>
            <w:r>
              <w:t xml:space="preserve">Which tier you hold and what the assessment took in, without leaning on the tier name alone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Sector and program instruments</w:t>
            </w:r>
            <w:r>
              <w:t xml:space="preserve"> </w:t>
            </w:r>
            <w:r>
              <w:t xml:space="preserve">-- a PCI DSS validation document, a FedRAMP or StateRAMP authorization, a CJIS policy audit</w:t>
            </w:r>
          </w:p>
        </w:tc>
        <w:tc>
          <w:tcPr/>
          <w:p>
            <w:pPr>
              <w:pStyle w:val="Compact"/>
            </w:pPr>
            <w:r>
              <w:t xml:space="preserve">That the operating environment for a named offering was assessed against that program's own rules</w:t>
            </w:r>
          </w:p>
        </w:tc>
        <w:tc>
          <w:tcPr/>
          <w:p>
            <w:pPr>
              <w:pStyle w:val="Compact"/>
            </w:pPr>
            <w:r>
              <w:t xml:space="preserve">Anything about software a customer installs and runs themselves. Nor that a third party did the assessing: a PCI DSS self-assessment questionnaire is completed and signed by you</w:t>
            </w:r>
          </w:p>
        </w:tc>
        <w:tc>
          <w:tcPr/>
          <w:p>
            <w:pPr>
              <w:pStyle w:val="Compact"/>
            </w:pPr>
            <w:r>
              <w:t xml:space="preserve">Which offering was in scope, whether it was independently assessed or self-assessed, and whether it is the offering being bought</w:t>
            </w:r>
          </w:p>
        </w:tc>
      </w:tr>
    </w:tbl>
    <w:p>
      <w:pPr>
        <w:pStyle w:val="BodyText"/>
      </w:pPr>
      <w:r>
        <w:t xml:space="preserve">Three things that will be used against you if you leave them for the buyer to find: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 examination period that produced no exception at all invites a question of its own.</w:t>
      </w:r>
      <w:r>
        <w:t xml:space="preserve"> </w:t>
      </w:r>
      <w:r>
        <w:t xml:space="preserve">The</w:t>
      </w:r>
      <w:r>
        <w:t xml:space="preserve"> </w:t>
      </w:r>
      <w:r>
        <w:t xml:space="preserve">scope passage and the exceptions passage are the report; the rest is structure. Be ready to explain</w:t>
      </w:r>
      <w:r>
        <w:t xml:space="preserve"> </w:t>
      </w:r>
      <w:r>
        <w:t xml:space="preserve">a clean run.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 certificate scope of one office or one business unit is entirely ordinary,</w:t>
      </w:r>
      <w:r>
        <w:t xml:space="preserve"> </w:t>
      </w:r>
      <w:r>
        <w:t xml:space="preserve">and narrower than</w:t>
      </w:r>
      <w:r>
        <w:t xml:space="preserve"> </w:t>
      </w:r>
      <w:r>
        <w:t xml:space="preserve">a reader takes it to be. Do not let them take it wider. The standards publisher issues nothing --</w:t>
      </w:r>
      <w:r>
        <w:t xml:space="preserve"> </w:t>
      </w:r>
      <w:r>
        <w:t xml:space="preserve">the accredited body does.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HITRUST sits in the same set as the program instruments, and none outranks the others.</w:t>
      </w:r>
      <w:r>
        <w:t xml:space="preserve"> </w:t>
      </w:r>
      <w:r>
        <w:t xml:space="preserve">Its two</w:t>
      </w:r>
      <w:r>
        <w:t xml:space="preserve"> </w:t>
      </w:r>
      <w:r>
        <w:t xml:space="preserve">lower tiers are fixed core control sets, the highest is tailored and risk-based, so a tier name</w:t>
      </w:r>
      <w:r>
        <w:t xml:space="preserve"> </w:t>
      </w:r>
      <w:r>
        <w:t xml:space="preserve">alone says less than it sounds like: offer tier and scope. Never circulate control text, which is</w:t>
      </w:r>
      <w:r>
        <w:t xml:space="preserve"> </w:t>
      </w:r>
      <w:r>
        <w:t xml:space="preserve">licensed. And the body that writes a program standard is often not the body that sets your</w:t>
      </w:r>
      <w:r>
        <w:t xml:space="preserve"> </w:t>
      </w:r>
      <w:r>
        <w:t xml:space="preserve">customer's validation requirement.</w:t>
      </w:r>
    </w:p>
    <w:p>
      <w:r>
        <w:pict>
          <v:rect style="width:0;height:1.5pt" o:hralign="center" o:hrstd="t" o:hr="t"/>
        </w:pict>
      </w:r>
    </w:p>
    <w:bookmarkEnd w:id="16"/>
    <w:bookmarkStart w:id="19" w:name="Xfd36b0890dc45bbde1e15e48c08f9e5ad94ea58"/>
    <w:p>
      <w:pPr>
        <w:pStyle w:val="Heading2"/>
      </w:pPr>
      <w:r>
        <w:t xml:space="preserve">Software layer: evidence about the thing you are selling</w:t>
      </w:r>
    </w:p>
    <w:p>
      <w:pPr>
        <w:pStyle w:val="FirstParagraph"/>
      </w:pPr>
      <w:r>
        <w:t xml:space="preserve">Nothing above examined your code or your build. These four do, and for each the buyer's real</w:t>
      </w:r>
      <w:r>
        <w:t xml:space="preserve"> </w:t>
      </w:r>
      <w:r>
        <w:t xml:space="preserve">question is how it was produced. Three you write about your own system, so their weight comes from</w:t>
      </w:r>
      <w:r>
        <w:t xml:space="preserve"> </w:t>
      </w:r>
      <w:r>
        <w:t xml:space="preserve">the discipline behind them rather than from who issued them -- describe the discipline. Testing</w:t>
      </w:r>
      <w:r>
        <w:t xml:space="preserve"> </w:t>
      </w:r>
      <w:r>
        <w:t xml:space="preserve">evidence is the exception and the strongest item here, in one form only: an external assessment or a</w:t>
      </w:r>
      <w:r>
        <w:t xml:space="preserve"> </w:t>
      </w:r>
      <w:r>
        <w:t xml:space="preserve">penetration test, the one software-layer artifact a third party issues. Expect that request by name,</w:t>
      </w:r>
      <w:r>
        <w:t xml:space="preserve"> </w:t>
      </w:r>
      <w:r>
        <w:t xml:space="preserve">and expect it to test whether you offer your own tooling's output instead.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software bill of materials</w:t>
            </w:r>
          </w:p>
        </w:tc>
        <w:tc>
          <w:tcPr/>
          <w:p>
            <w:pPr>
              <w:pStyle w:val="Compact"/>
            </w:pPr>
            <w:r>
              <w:t xml:space="preserve">Which components are in the build</w:t>
            </w:r>
          </w:p>
        </w:tc>
        <w:tc>
          <w:tcPr/>
          <w:p>
            <w:pPr>
              <w:pStyle w:val="Compact"/>
            </w:pPr>
            <w:r>
              <w:t xml:space="preserve">Whether any of it is exploitable in the configuration the buyer will run. A conforming SBOM can still be inaccurate</w:t>
            </w:r>
          </w:p>
        </w:tc>
        <w:tc>
          <w:tcPr/>
          <w:p>
            <w:pPr>
              <w:pStyle w:val="Compact"/>
            </w:pPr>
            <w:r>
              <w:t xml:space="preserve">That it is generated by the build for the exact released artifact, rather than hand-maintained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data flow diagram</w:t>
            </w:r>
          </w:p>
        </w:tc>
        <w:tc>
          <w:tcPr/>
          <w:p>
            <w:pPr>
              <w:pStyle w:val="Compact"/>
            </w:pPr>
            <w:r>
              <w:t xml:space="preserve">Where data crosses a trust boundary -- which is where a control has to exist, and where a threat model becomes checkable</w:t>
            </w:r>
          </w:p>
        </w:tc>
        <w:tc>
          <w:tcPr/>
          <w:p>
            <w:pPr>
              <w:pStyle w:val="Compact"/>
            </w:pPr>
            <w:r>
              <w:t xml:space="preserve">Anything at all, if the boundaries are not marked. Unmarked, it is a diagram rather than a security artifact</w:t>
            </w:r>
          </w:p>
        </w:tc>
        <w:tc>
          <w:tcPr/>
          <w:p>
            <w:pPr>
              <w:pStyle w:val="Compact"/>
            </w:pPr>
            <w:r>
              <w:t xml:space="preserve">Which boundaries are marked, and which control sits on each 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Cryptography documentation</w:t>
            </w:r>
          </w:p>
        </w:tc>
        <w:tc>
          <w:tcPr/>
          <w:p>
            <w:pPr>
              <w:pStyle w:val="Compact"/>
            </w:pPr>
            <w:r>
              <w:t xml:space="preserve">Which algorithms and modes you use, and where data is encrypted in transit and at rest</w:t>
            </w:r>
          </w:p>
        </w:tc>
        <w:tc>
          <w:tcPr/>
          <w:p>
            <w:pPr>
              <w:pStyle w:val="Compact"/>
            </w:pPr>
            <w:r>
              <w:t xml:space="preserve">Key management. "AES-256" names an algorithm, not a key lifecycle</w:t>
            </w:r>
          </w:p>
        </w:tc>
        <w:tc>
          <w:tcPr/>
          <w:p>
            <w:pPr>
              <w:pStyle w:val="Compact"/>
            </w:pPr>
            <w:r>
              <w:t xml:space="preserve">Who holds the keys, where they live, and what happens on rotation and on revocation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Testing evidence</w:t>
            </w:r>
          </w:p>
        </w:tc>
        <w:tc>
          <w:tcPr/>
          <w:p>
            <w:pPr>
              <w:pStyle w:val="Compact"/>
            </w:pPr>
            <w:r>
              <w:t xml:space="preserve">That a named class of defect was looked for, by a named method, on a named date and against a named version</w:t>
            </w:r>
          </w:p>
        </w:tc>
        <w:tc>
          <w:tcPr/>
          <w:p>
            <w:pPr>
              <w:pStyle w:val="Compact"/>
            </w:pPr>
            <w:r>
              <w:t xml:space="preserve">The absence of anything. Static analysis and dynamic testing find different classes of defect, and neither substitutes for the other</w:t>
            </w:r>
          </w:p>
        </w:tc>
        <w:tc>
          <w:tcPr/>
          <w:p>
            <w:pPr>
              <w:pStyle w:val="Compact"/>
            </w:pPr>
            <w:r>
              <w:t xml:space="preserve">Who ran it, and whether they were independent of the team that wrote the code</w:t>
            </w:r>
          </w:p>
        </w:tc>
      </w:tr>
    </w:tbl>
    <w:p>
      <w:pPr>
        <w:pStyle w:val="BodyText"/>
      </w:pPr>
      <w:r>
        <w:t xml:space="preserve">Two follow-ups you will be asked, so answer them unprompted: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For testing evidence:</w:t>
      </w:r>
      <w:r>
        <w:t xml:space="preserve"> </w:t>
      </w:r>
      <w:r>
        <w:t xml:space="preserve">what was in scope, which version was tested, and what triggers the next</w:t>
      </w:r>
      <w:r>
        <w:t xml:space="preserve"> </w:t>
      </w:r>
      <w:r>
        <w:t xml:space="preserve">run -- a change, or a date on the calendar?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For a hosted platform's SBOM:</w:t>
      </w:r>
      <w:r>
        <w:t xml:space="preserve"> </w:t>
      </w:r>
      <w:r>
        <w:t xml:space="preserve">does it describe the runtime production environment, or a</w:t>
      </w:r>
      <w:r>
        <w:t xml:space="preserve"> </w:t>
      </w:r>
      <w:r>
        <w:t xml:space="preserve">build-time source manifest? Those answer different questions, and only one describes what is</w:t>
      </w:r>
      <w:r>
        <w:t xml:space="preserve"> </w:t>
      </w:r>
      <w:r>
        <w:t xml:space="preserve">running.</w:t>
      </w:r>
    </w:p>
    <w:p>
      <w:pPr>
        <w:pStyle w:val="FirstParagraph"/>
      </w:pPr>
      <w:r>
        <w:t xml:space="preserve">Three of these rows are outputs of a process rather than documents to write at diligence time.</w:t>
      </w:r>
      <w:r>
        <w:t xml:space="preserve"> </w:t>
      </w:r>
      <w:hyperlink r:id="rId17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is where the data flow diagram and the testing regime</w:t>
      </w:r>
      <w:r>
        <w:t xml:space="preserve"> </w:t>
      </w:r>
      <w:r>
        <w:t xml:space="preserve">come from;</w:t>
      </w:r>
      <w:r>
        <w:t xml:space="preserve"> </w:t>
      </w:r>
      <w:hyperlink r:id="rId18">
        <w:r>
          <w:rPr>
            <w:rStyle w:val="Hyperlink"/>
          </w:rPr>
          <w:t xml:space="preserve">Dependency integrity</w:t>
        </w:r>
      </w:hyperlink>
      <w:r>
        <w:t xml:space="preserve"> </w:t>
      </w:r>
      <w:r>
        <w:t xml:space="preserve">is where the SBOM comes from, with the</w:t>
      </w:r>
      <w:r>
        <w:t xml:space="preserve"> </w:t>
      </w:r>
      <w:r>
        <w:t xml:space="preserve">dated citation behind the runtime-versus-build distinction. Build them there and diligence becomes a</w:t>
      </w:r>
      <w:r>
        <w:t xml:space="preserve"> </w:t>
      </w:r>
      <w:r>
        <w:t xml:space="preserve">retrieval task.</w:t>
      </w:r>
    </w:p>
    <w:p>
      <w:r>
        <w:pict>
          <v:rect style="width:0;height:1.5pt" o:hralign="center" o:hrstd="t" o:hr="t"/>
        </w:pict>
      </w:r>
    </w:p>
    <w:bookmarkEnd w:id="19"/>
    <w:bookmarkStart w:id="20" w:name="X47b6f90d36b143c14e13657501074bc075993f0"/>
    <w:p>
      <w:pPr>
        <w:pStyle w:val="Heading2"/>
      </w:pPr>
      <w:r>
        <w:t xml:space="preserve">Legal instruments: evidence about who pays when it goes wrong</w:t>
      </w:r>
    </w:p>
    <w:p>
      <w:pPr>
        <w:pStyle w:val="FirstParagraph"/>
      </w:pPr>
      <w:r>
        <w:t xml:space="preserve">These allocate liability. They do not establish security, and offering them as though they do is the</w:t>
      </w:r>
      <w:r>
        <w:t xml:space="preserve"> </w:t>
      </w:r>
      <w:r>
        <w:t xml:space="preserve">same overclaim in a third costume: a complete set says what happens after a failure, nothing about</w:t>
      </w:r>
      <w:r>
        <w:t xml:space="preserve"> </w:t>
      </w:r>
      <w:r>
        <w:t xml:space="preserve">its likelihood. They are read for their clock definitions and notification paths, which is where</w:t>
      </w:r>
      <w:r>
        <w:t xml:space="preserve"> </w:t>
      </w:r>
      <w:r>
        <w:t xml:space="preserve">they are weakest and always checkable.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item</w:t>
            </w:r>
          </w:p>
        </w:tc>
        <w:tc>
          <w:tcPr/>
          <w:p>
            <w:pPr>
              <w:pStyle w:val="Compact"/>
            </w:pPr>
            <w:r>
              <w:t xml:space="preserve">What it proves for you</w:t>
            </w:r>
          </w:p>
        </w:tc>
        <w:tc>
          <w:tcPr/>
          <w:p>
            <w:pPr>
              <w:pStyle w:val="Compact"/>
            </w:pPr>
            <w:r>
              <w:t xml:space="preserve">What it will not carry</w:t>
            </w:r>
          </w:p>
        </w:tc>
        <w:tc>
          <w:tcPr/>
          <w:p>
            <w:pPr>
              <w:pStyle w:val="Compact"/>
            </w:pPr>
            <w:r>
              <w:t xml:space="preserve">What you must be able to say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vulnerability remediation commitment (the SLA)</w:t>
            </w:r>
          </w:p>
        </w:tc>
        <w:tc>
          <w:tcPr/>
          <w:p>
            <w:pPr>
              <w:pStyle w:val="Compact"/>
            </w:pPr>
            <w:r>
              <w:t xml:space="preserve">An agreed maximum elapsed time, and a contractual remedy if you miss it</w:t>
            </w:r>
          </w:p>
        </w:tc>
        <w:tc>
          <w:tcPr/>
          <w:p>
            <w:pPr>
              <w:pStyle w:val="Compact"/>
            </w:pPr>
            <w:r>
              <w:t xml:space="preserve">That anything is fixed faster</w:t>
            </w:r>
          </w:p>
        </w:tc>
        <w:tc>
          <w:tcPr/>
          <w:p>
            <w:pPr>
              <w:pStyle w:val="Compact"/>
            </w:pPr>
            <w:r>
              <w:t xml:space="preserve">When the clock starts, when it stops, and how a reporter reaches a human outside business hours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 incident response plan</w:t>
            </w:r>
          </w:p>
        </w:tc>
        <w:tc>
          <w:tcPr/>
          <w:p>
            <w:pPr>
              <w:pStyle w:val="Compact"/>
            </w:pPr>
            <w:r>
              <w:t xml:space="preserve">That a written plan exists, with named roles and a notification path</w:t>
            </w:r>
          </w:p>
        </w:tc>
        <w:tc>
          <w:tcPr/>
          <w:p>
            <w:pPr>
              <w:pStyle w:val="Compact"/>
            </w:pPr>
            <w:r>
              <w:t xml:space="preserve">That anyone has ever executed it</w:t>
            </w:r>
          </w:p>
        </w:tc>
        <w:tc>
          <w:tcPr/>
          <w:p>
            <w:pPr>
              <w:pStyle w:val="Compact"/>
            </w:pPr>
            <w:r>
              <w:t xml:space="preserve">The date of your last exercise, and what changed as a result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Data-handling agreements</w:t>
            </w:r>
            <w:r>
              <w:t xml:space="preserve"> </w:t>
            </w:r>
            <w:r>
              <w:t xml:space="preserve">-- a data processing agreement and its sector equivalents, such as a business associate agreement</w:t>
            </w:r>
          </w:p>
        </w:tc>
        <w:tc>
          <w:tcPr/>
          <w:p>
            <w:pPr>
              <w:pStyle w:val="Compact"/>
            </w:pPr>
            <w:r>
              <w:t xml:space="preserve">Who may process the data, for what purpose, through which subprocessors, and who must notify whom within what time</w:t>
            </w:r>
          </w:p>
        </w:tc>
        <w:tc>
          <w:tcPr/>
          <w:p>
            <w:pPr>
              <w:pStyle w:val="Compact"/>
            </w:pPr>
            <w:r>
              <w:t xml:space="preserve">That the processing is secure. It allocates duty and liability, which is a different thing</w:t>
            </w:r>
          </w:p>
        </w:tc>
        <w:tc>
          <w:tcPr/>
          <w:p>
            <w:pPr>
              <w:pStyle w:val="Compact"/>
            </w:pPr>
            <w:r>
              <w:t xml:space="preserve">Your current subprocessor list, how customers are told when it changes, and where the breach-notification clock starts</w:t>
            </w:r>
          </w:p>
        </w:tc>
      </w:tr>
    </w:tbl>
    <w:p>
      <w:pPr>
        <w:pStyle w:val="BodyText"/>
      </w:pPr>
      <w:r>
        <w:t xml:space="preserve">Two places these fail, both common and both yours to fix before anyone reads them: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 SLA fails at the clock's start point, not at the number.</w:t>
      </w:r>
      <w:r>
        <w:t xml:space="preserve"> </w:t>
      </w:r>
      <w:r>
        <w:t xml:space="preserve">A clock that starts when you accept</w:t>
      </w:r>
      <w:r>
        <w:t xml:space="preserve"> </w:t>
      </w:r>
      <w:r>
        <w:t xml:space="preserve">triage is unbounded whatever the number on it, and a careful buyer will say so. "Patch released" is</w:t>
      </w:r>
      <w:r>
        <w:t xml:space="preserve"> </w:t>
      </w:r>
      <w:r>
        <w:t xml:space="preserve">also not "patch deployed": for software the customer runs, deployment is their side of the line,</w:t>
      </w:r>
      <w:r>
        <w:t xml:space="preserve"> </w:t>
      </w:r>
      <w:r>
        <w:t xml:space="preserve">and the agreement should say which side it means.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 plan with no exercise date is a document, not a capability.</w:t>
      </w:r>
      <w:r>
        <w:t xml:space="preserve"> </w:t>
      </w:r>
      <w:r>
        <w:t xml:space="preserve">Run one and date it.</w:t>
      </w:r>
    </w:p>
    <w:p>
      <w:pPr>
        <w:pStyle w:val="FirstParagraph"/>
      </w:pPr>
      <w:hyperlink r:id="rId17">
        <w:r>
          <w:rPr>
            <w:rStyle w:val="Hyperlink"/>
          </w:rPr>
          <w:t xml:space="preserve">Secure development</w:t>
        </w:r>
      </w:hyperlink>
      <w:r>
        <w:t xml:space="preserve"> </w:t>
      </w:r>
      <w:r>
        <w:t xml:space="preserve">is where the disclosure path and the remediation clock</w:t>
      </w:r>
      <w:r>
        <w:t xml:space="preserve"> </w:t>
      </w:r>
      <w:r>
        <w:t xml:space="preserve">come from.</w:t>
      </w:r>
    </w:p>
    <w:p>
      <w:r>
        <w:pict>
          <v:rect style="width:0;height:1.5pt" o:hralign="center" o:hrstd="t" o:hr="t"/>
        </w:pict>
      </w:r>
    </w:p>
    <w:bookmarkEnd w:id="20"/>
    <w:bookmarkStart w:id="21" w:name="what-this-page-does-not-do"/>
    <w:p>
      <w:pPr>
        <w:pStyle w:val="Heading2"/>
      </w:pPr>
      <w:r>
        <w:t xml:space="preserve">What this page does not do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It lists at least the items a buyer commonly asks for, and is not a complete diligence list.</w:t>
      </w:r>
      <w:r>
        <w:t xml:space="preserve"> </w:t>
      </w:r>
      <w:r>
        <w:t xml:space="preserve">Holding everything here is not approval, and being asked for something not listed is ordinary.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Not legal advice.</w:t>
      </w:r>
      <w:r>
        <w:t xml:space="preserve"> </w:t>
      </w:r>
      <w:r>
        <w:t xml:space="preserve">What you are obliged to provide is decided by a contract clause, not by a web</w:t>
      </w:r>
      <w:r>
        <w:t xml:space="preserve"> </w:t>
      </w:r>
      <w:r>
        <w:t xml:space="preserve">page. Nothing here has been reviewed by counsel.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 assessor, tool, format or vendor is named.</w:t>
      </w:r>
      <w:r>
        <w:t xml:space="preserve"> </w:t>
      </w:r>
      <w:r>
        <w:t xml:space="preserve">The rows describe instruments, not the market</w:t>
      </w:r>
      <w:r>
        <w:t xml:space="preserve"> </w:t>
      </w:r>
      <w:r>
        <w:t xml:space="preserve">that sells them.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No status, version or edition claim appears here.</w:t>
      </w:r>
      <w:r>
        <w:t xml:space="preserve"> </w:t>
      </w:r>
      <w:r>
        <w:t xml:space="preserve">Those live on the reference page, each</w:t>
      </w:r>
      <w:r>
        <w:t xml:space="preserve"> </w:t>
      </w:r>
      <w:r>
        <w:t xml:space="preserve">carrying the date it was checked, so a stale fact is visible as one.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complete packet is not a secure product, and a thin packet is not an insecure one.</w:t>
      </w:r>
      <w:r>
        <w:t xml:space="preserve"> </w:t>
      </w:r>
      <w:r>
        <w:t xml:space="preserve">Both are</w:t>
      </w:r>
      <w:r>
        <w:t xml:space="preserve"> </w:t>
      </w:r>
      <w:r>
        <w:t xml:space="preserve">evidence about what a buyer can check -- more modest than either side of a procurement</w:t>
      </w:r>
      <w:r>
        <w:t xml:space="preserve"> </w:t>
      </w:r>
      <w:r>
        <w:t xml:space="preserve">conversation usually wants. Claiming more is the failure this page is about.</w:t>
      </w:r>
    </w:p>
    <w:p>
      <w:r>
        <w:pict>
          <v:rect style="width:0;height:1.5pt" o:hralign="center" o:hrstd="t" o:hr="t"/>
        </w:pict>
      </w:r>
    </w:p>
    <w:bookmarkEnd w:id="21"/>
    <w:bookmarkStart w:id="26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Which of these reach your own organization</w:t>
            </w:r>
          </w:p>
        </w:tc>
        <w:tc>
          <w:tcPr/>
          <w:p>
            <w:pPr>
              <w:pStyle w:val="Compact"/>
            </w:pPr>
            <w:hyperlink r:id="rId22">
              <w:r>
                <w:rPr>
                  <w:rStyle w:val="Hyperlink"/>
                </w:rPr>
                <w:t xml:space="preserve">Which standards apply to you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One row per document, as a lookup, with statuses and dates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Security standards reference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to require of your own developers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process a build must satisfy, including dynamic testing, the data flow diagram and disclosure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Secure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SBOM, provenance, and what gets published</w:t>
            </w:r>
          </w:p>
        </w:tc>
        <w:tc>
          <w:tcPr/>
          <w:p>
            <w:pPr>
              <w:pStyle w:val="Compact"/>
            </w:pPr>
            <w:hyperlink r:id="rId18">
              <w:r>
                <w:rPr>
                  <w:rStyle w:val="Hyperlink"/>
                </w:rPr>
                <w:t xml:space="preserve">Dependency integrity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Whether a written rule can actually stop a change</w:t>
            </w:r>
          </w:p>
        </w:tc>
        <w:tc>
          <w:tcPr/>
          <w:p>
            <w:pPr>
              <w:pStyle w:val="Compact"/>
            </w:pPr>
            <w:hyperlink r:id="rId25">
              <w:r>
                <w:rPr>
                  <w:rStyle w:val="Hyperlink"/>
                </w:rPr>
                <w:t xml:space="preserve">Automated compliance in CI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None of this certifies anything.</w:t>
      </w:r>
      <w:r>
        <w:t xml:space="preserve"> </w:t>
      </w:r>
      <w:r>
        <w:t xml:space="preserve">MIT licensed. Adapt it, put your own name on it, and delete</w:t>
      </w:r>
      <w:r>
        <w:t xml:space="preserve"> </w:t>
      </w:r>
      <w:r>
        <w:t xml:space="preserve">anything you cannot stand behind.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CI-ENFORCEMENT.md" TargetMode="External" /><Relationship Type="http://schemas.openxmlformats.org/officeDocument/2006/relationships/hyperlink" Id="rId24" Target="CISO-SUMMARY.md" TargetMode="External" /><Relationship Type="http://schemas.openxmlformats.org/officeDocument/2006/relationships/hyperlink" Id="rId18" Target="DEPENDENCY-INTEGR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7" Target="SECURE-DEVELOPMENT.md" TargetMode="External" /><Relationship Type="http://schemas.openxmlformats.org/officeDocument/2006/relationships/hyperlink" Id="rId23" Target="STANDARDS-REFERENCE.md" TargetMode="External" /><Relationship Type="http://schemas.openxmlformats.org/officeDocument/2006/relationships/hyperlink" Id="rId14" Target="STANDARDS-REFERENCE.md#the-organization-layer-is-not-the-software-layer" TargetMode="External" /><Relationship Type="http://schemas.openxmlformats.org/officeDocument/2006/relationships/hyperlink" Id="rId22" Target="WHICH-STANDARDS-APPLY.md" TargetMode="External" /><Relationship Type="http://schemas.openxmlformats.org/officeDocument/2006/relationships/hyperlink" Id="rId9" Target="https://secure-development-standards.pages.dev/standards/DILIGENCE-PACKET.md" TargetMode="External" /><Relationship Type="http://schemas.openxmlformats.org/officeDocument/2006/relationships/hyperlink" Id="rId10" Target="https://secure-development-standards.pages.dev/standards/word/DILIGENCE-PACKE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CI-ENFORCEMENT.md" TargetMode="External" /><Relationship Type="http://schemas.openxmlformats.org/officeDocument/2006/relationships/hyperlink" Id="rId24" Target="CISO-SUMMARY.md" TargetMode="External" /><Relationship Type="http://schemas.openxmlformats.org/officeDocument/2006/relationships/hyperlink" Id="rId18" Target="DEPENDENCY-INTEGR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7" Target="SECURE-DEVELOPMENT.md" TargetMode="External" /><Relationship Type="http://schemas.openxmlformats.org/officeDocument/2006/relationships/hyperlink" Id="rId23" Target="STANDARDS-REFERENCE.md" TargetMode="External" /><Relationship Type="http://schemas.openxmlformats.org/officeDocument/2006/relationships/hyperlink" Id="rId14" Target="STANDARDS-REFERENCE.md#the-organization-layer-is-not-the-software-layer" TargetMode="External" /><Relationship Type="http://schemas.openxmlformats.org/officeDocument/2006/relationships/hyperlink" Id="rId22" Target="WHICH-STANDARDS-APPLY.md" TargetMode="External" /><Relationship Type="http://schemas.openxmlformats.org/officeDocument/2006/relationships/hyperlink" Id="rId9" Target="https://secure-development-standards.pages.dev/standards/DILIGENCE-PACKET.md" TargetMode="External" /><Relationship Type="http://schemas.openxmlformats.org/officeDocument/2006/relationships/hyperlink" Id="rId10" Target="https://secure-development-standards.pages.dev/standards/word/DILIGENCE-PACKE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2026-08-10T23:37:42Z</dcterms:created>
  <dcterms:modified xsi:type="dcterms:W3CDTF">2026-08-10T23:37:42Z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